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bookmarkStart w:id="0" w:name="_GoBack"/>
      <w:bookmarkEnd w:id="0"/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E021FF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E021FF">
        <w:rPr>
          <w:rFonts w:cs="Arial"/>
          <w:b/>
          <w:bCs/>
          <w:sz w:val="28"/>
          <w:szCs w:val="28"/>
        </w:rPr>
        <w:t>Ancient Studies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="001A75E7">
        <w:rPr>
          <w:rFonts w:cs="Arial"/>
          <w:sz w:val="20"/>
          <w:szCs w:val="20"/>
        </w:rPr>
        <w:t>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Teachers may make changes to the plan, retaining align</w:t>
      </w:r>
      <w:r w:rsidR="001A75E7">
        <w:rPr>
          <w:rFonts w:cs="Arial"/>
          <w:sz w:val="20"/>
          <w:szCs w:val="20"/>
        </w:rPr>
        <w:t>ment with the subject outline.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</w:t>
      </w:r>
      <w:r w:rsidR="001A75E7">
        <w:rPr>
          <w:rFonts w:cs="Arial"/>
          <w:sz w:val="20"/>
          <w:szCs w:val="20"/>
        </w:rPr>
        <w:t>to the SACE Board for approval.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983173" w:rsidP="00BA218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983173" w:rsidP="00BA218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983173" w:rsidP="00BA2185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75E7">
          <w:headerReference w:type="first" r:id="rId9"/>
          <w:footerReference w:type="first" r:id="rId10"/>
          <w:pgSz w:w="11906" w:h="16838" w:code="237"/>
          <w:pgMar w:top="1134" w:right="1134" w:bottom="1134" w:left="1134" w:header="454" w:footer="454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1A75E7">
      <w:pPr>
        <w:pStyle w:val="LAPHeading"/>
        <w:spacing w:before="0"/>
      </w:pPr>
      <w:r w:rsidRPr="004963F3">
        <w:lastRenderedPageBreak/>
        <w:t xml:space="preserve">Stage </w:t>
      </w:r>
      <w:r>
        <w:t xml:space="preserve">1 </w:t>
      </w:r>
      <w:r w:rsidR="00E021FF">
        <w:t>Ancient Studies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535"/>
        <w:gridCol w:w="709"/>
        <w:gridCol w:w="709"/>
        <w:gridCol w:w="709"/>
        <w:gridCol w:w="4818"/>
      </w:tblGrid>
      <w:tr w:rsidR="002A53B7" w:rsidRPr="004963F3" w:rsidTr="008E25A4">
        <w:trPr>
          <w:trHeight w:val="443"/>
          <w:tblHeader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2A53B7" w:rsidRPr="001A75E7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1A75E7">
              <w:rPr>
                <w:b/>
                <w:lang w:val="en-US"/>
              </w:rPr>
              <w:t>Assessment Type and Weighting</w:t>
            </w:r>
          </w:p>
        </w:tc>
        <w:tc>
          <w:tcPr>
            <w:tcW w:w="7535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2A53B7" w:rsidRPr="0030789D" w:rsidRDefault="002A53B7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2A53B7" w:rsidRPr="004963F3" w:rsidTr="008E25A4">
        <w:trPr>
          <w:trHeight w:val="182"/>
          <w:tblHeader/>
        </w:trPr>
        <w:tc>
          <w:tcPr>
            <w:tcW w:w="1396" w:type="dxa"/>
            <w:vMerge/>
            <w:shd w:val="clear" w:color="auto" w:fill="auto"/>
            <w:vAlign w:val="center"/>
          </w:tcPr>
          <w:p w:rsidR="002A53B7" w:rsidRPr="001A75E7" w:rsidRDefault="002A53B7" w:rsidP="00BA2185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35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A62C00" w:rsidRDefault="00924FB1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</w:t>
            </w:r>
            <w:r w:rsidR="00A62C00">
              <w:rPr>
                <w:rFonts w:cs="Arial"/>
                <w:b/>
                <w:bCs/>
                <w:sz w:val="20"/>
                <w:szCs w:val="20"/>
                <w:lang w:val="en-US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4963F3" w:rsidRDefault="00924FB1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R</w:t>
            </w:r>
            <w:r w:rsidR="00A62C00">
              <w:rPr>
                <w:rFonts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EE7715" w:rsidRDefault="0039234A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A53B7" w:rsidRPr="004963F3" w:rsidTr="008E25A4">
        <w:trPr>
          <w:trHeight w:val="1317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2A53B7" w:rsidRPr="001A75E7" w:rsidRDefault="00CB102A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1A75E7">
              <w:rPr>
                <w:b/>
                <w:lang w:val="en-US"/>
              </w:rPr>
              <w:t>Skills and Applications</w:t>
            </w:r>
          </w:p>
          <w:p w:rsidR="002A53B7" w:rsidRPr="001A75E7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A53B7" w:rsidRPr="001A75E7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1A75E7">
              <w:rPr>
                <w:b/>
                <w:lang w:val="en-US"/>
              </w:rPr>
              <w:t xml:space="preserve">Weighting </w:t>
            </w:r>
            <w:r w:rsidR="003F774F">
              <w:rPr>
                <w:b/>
                <w:sz w:val="22"/>
                <w:szCs w:val="22"/>
                <w:lang w:val="en-US"/>
              </w:rPr>
              <w:t>75</w:t>
            </w:r>
            <w:r w:rsidRPr="001A75E7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7535" w:type="dxa"/>
            <w:shd w:val="clear" w:color="auto" w:fill="auto"/>
          </w:tcPr>
          <w:p w:rsidR="002A53B7" w:rsidRPr="008E25A4" w:rsidRDefault="00A62C00" w:rsidP="00183C1A">
            <w:pPr>
              <w:pStyle w:val="ACLAPTableText"/>
              <w:spacing w:before="20" w:after="20"/>
              <w:rPr>
                <w:b/>
                <w:sz w:val="18"/>
                <w:szCs w:val="18"/>
              </w:rPr>
            </w:pPr>
            <w:r w:rsidRPr="008E25A4">
              <w:rPr>
                <w:b/>
                <w:sz w:val="18"/>
                <w:szCs w:val="18"/>
              </w:rPr>
              <w:t>Topic</w:t>
            </w:r>
            <w:r w:rsidR="00B356AD" w:rsidRPr="008E25A4">
              <w:rPr>
                <w:b/>
                <w:sz w:val="18"/>
                <w:szCs w:val="18"/>
              </w:rPr>
              <w:t xml:space="preserve"> 1</w:t>
            </w:r>
            <w:r w:rsidRPr="008E25A4">
              <w:rPr>
                <w:b/>
                <w:sz w:val="18"/>
                <w:szCs w:val="18"/>
              </w:rPr>
              <w:t xml:space="preserve"> : Understanding Ancient History</w:t>
            </w:r>
          </w:p>
          <w:p w:rsidR="00A62C00" w:rsidRPr="008E25A4" w:rsidRDefault="00A62C00" w:rsidP="00183C1A">
            <w:pPr>
              <w:pStyle w:val="ACLAPTableText"/>
              <w:spacing w:before="20" w:after="20"/>
              <w:rPr>
                <w:b/>
                <w:sz w:val="18"/>
                <w:szCs w:val="18"/>
              </w:rPr>
            </w:pPr>
            <w:r w:rsidRPr="008E25A4">
              <w:rPr>
                <w:b/>
                <w:sz w:val="18"/>
                <w:szCs w:val="18"/>
              </w:rPr>
              <w:t>Cultural Heritage, Ownership and/or role of museums</w:t>
            </w:r>
          </w:p>
          <w:p w:rsidR="00A62C00" w:rsidRPr="008E25A4" w:rsidRDefault="00A62C00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 xml:space="preserve">Students choose </w:t>
            </w:r>
            <w:r w:rsidR="00CB102A" w:rsidRPr="008E25A4">
              <w:rPr>
                <w:sz w:val="18"/>
                <w:szCs w:val="18"/>
              </w:rPr>
              <w:t>from</w:t>
            </w:r>
            <w:r w:rsidRPr="008E25A4">
              <w:rPr>
                <w:sz w:val="18"/>
                <w:szCs w:val="18"/>
              </w:rPr>
              <w:t xml:space="preserve"> the following civilisations</w:t>
            </w:r>
            <w:r w:rsidR="00573AA2" w:rsidRPr="008E25A4">
              <w:rPr>
                <w:sz w:val="18"/>
                <w:szCs w:val="18"/>
              </w:rPr>
              <w:t>,</w:t>
            </w:r>
            <w:r w:rsidR="00CB102A" w:rsidRPr="008E25A4">
              <w:rPr>
                <w:sz w:val="18"/>
                <w:szCs w:val="18"/>
              </w:rPr>
              <w:t xml:space="preserve"> and identify</w:t>
            </w:r>
            <w:r w:rsidR="00573AA2" w:rsidRPr="008E25A4">
              <w:rPr>
                <w:sz w:val="18"/>
                <w:szCs w:val="18"/>
              </w:rPr>
              <w:t xml:space="preserve"> important sites and museums</w:t>
            </w:r>
            <w:r w:rsidRPr="008E25A4">
              <w:rPr>
                <w:sz w:val="18"/>
                <w:szCs w:val="18"/>
              </w:rPr>
              <w:t>:</w:t>
            </w:r>
          </w:p>
          <w:p w:rsidR="00512A95" w:rsidRPr="008E25A4" w:rsidRDefault="00A62C00" w:rsidP="00924FB1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Lake Mungo</w:t>
            </w:r>
            <w:r w:rsidR="00924FB1">
              <w:rPr>
                <w:sz w:val="18"/>
                <w:szCs w:val="18"/>
              </w:rPr>
              <w:t xml:space="preserve">, </w:t>
            </w:r>
            <w:r w:rsidRPr="008E25A4">
              <w:rPr>
                <w:sz w:val="18"/>
                <w:szCs w:val="18"/>
              </w:rPr>
              <w:t>Stonehenge</w:t>
            </w:r>
            <w:r w:rsidR="00924FB1">
              <w:rPr>
                <w:sz w:val="18"/>
                <w:szCs w:val="18"/>
              </w:rPr>
              <w:t xml:space="preserve">, </w:t>
            </w:r>
            <w:r w:rsidRPr="008E25A4">
              <w:rPr>
                <w:sz w:val="18"/>
                <w:szCs w:val="18"/>
              </w:rPr>
              <w:t>Egypt Old and Middle Kingdoms</w:t>
            </w:r>
            <w:r w:rsidR="00924FB1">
              <w:rPr>
                <w:sz w:val="18"/>
                <w:szCs w:val="18"/>
              </w:rPr>
              <w:t xml:space="preserve">, </w:t>
            </w:r>
            <w:r w:rsidRPr="008E25A4">
              <w:rPr>
                <w:sz w:val="18"/>
                <w:szCs w:val="18"/>
              </w:rPr>
              <w:t>Greece: Classical Period</w:t>
            </w:r>
            <w:r w:rsidR="00924FB1">
              <w:rPr>
                <w:sz w:val="18"/>
                <w:szCs w:val="18"/>
              </w:rPr>
              <w:t xml:space="preserve">, </w:t>
            </w:r>
            <w:r w:rsidRPr="008E25A4">
              <w:rPr>
                <w:sz w:val="18"/>
                <w:szCs w:val="18"/>
              </w:rPr>
              <w:t>Rome: Empire</w:t>
            </w:r>
            <w:r w:rsidR="00924FB1">
              <w:rPr>
                <w:sz w:val="18"/>
                <w:szCs w:val="18"/>
              </w:rPr>
              <w:t>.</w:t>
            </w:r>
          </w:p>
          <w:p w:rsidR="00A62C00" w:rsidRPr="008E25A4" w:rsidRDefault="00573AA2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Students</w:t>
            </w:r>
            <w:r w:rsidR="00A62C00" w:rsidRPr="008E25A4">
              <w:rPr>
                <w:sz w:val="18"/>
                <w:szCs w:val="18"/>
              </w:rPr>
              <w:t xml:space="preserve"> will </w:t>
            </w:r>
            <w:r w:rsidR="005D5FCB" w:rsidRPr="008E25A4">
              <w:rPr>
                <w:sz w:val="18"/>
                <w:szCs w:val="18"/>
              </w:rPr>
              <w:t>examine the role of museums and</w:t>
            </w:r>
            <w:r w:rsidR="00A62C00" w:rsidRPr="008E25A4">
              <w:rPr>
                <w:sz w:val="18"/>
                <w:szCs w:val="18"/>
              </w:rPr>
              <w:t xml:space="preserve"> </w:t>
            </w:r>
            <w:r w:rsidR="005D5FCB" w:rsidRPr="008E25A4">
              <w:rPr>
                <w:sz w:val="18"/>
                <w:szCs w:val="18"/>
              </w:rPr>
              <w:t xml:space="preserve">archaeological </w:t>
            </w:r>
            <w:r w:rsidR="00A62C00" w:rsidRPr="008E25A4">
              <w:rPr>
                <w:sz w:val="18"/>
                <w:szCs w:val="18"/>
              </w:rPr>
              <w:t xml:space="preserve">sites in </w:t>
            </w:r>
            <w:r w:rsidR="005D5FCB" w:rsidRPr="008E25A4">
              <w:rPr>
                <w:sz w:val="18"/>
                <w:szCs w:val="18"/>
              </w:rPr>
              <w:t>shaping contemporary</w:t>
            </w:r>
            <w:r w:rsidR="00A62C00" w:rsidRPr="008E25A4">
              <w:rPr>
                <w:sz w:val="18"/>
                <w:szCs w:val="18"/>
              </w:rPr>
              <w:t xml:space="preserve"> view</w:t>
            </w:r>
            <w:r w:rsidR="005D5FCB" w:rsidRPr="008E25A4">
              <w:rPr>
                <w:sz w:val="18"/>
                <w:szCs w:val="18"/>
              </w:rPr>
              <w:t>points on</w:t>
            </w:r>
            <w:r w:rsidR="00A62C00" w:rsidRPr="008E25A4">
              <w:rPr>
                <w:sz w:val="18"/>
                <w:szCs w:val="18"/>
              </w:rPr>
              <w:t xml:space="preserve"> these civilisations. They will also exam</w:t>
            </w:r>
            <w:r w:rsidR="00EE7715" w:rsidRPr="008E25A4">
              <w:rPr>
                <w:sz w:val="18"/>
                <w:szCs w:val="18"/>
              </w:rPr>
              <w:t>ine</w:t>
            </w:r>
            <w:r w:rsidR="00A62C00" w:rsidRPr="008E25A4">
              <w:rPr>
                <w:sz w:val="18"/>
                <w:szCs w:val="18"/>
              </w:rPr>
              <w:t xml:space="preserve"> the cultural appropriation by museum of artefacts fro</w:t>
            </w:r>
            <w:r w:rsidRPr="008E25A4">
              <w:rPr>
                <w:sz w:val="18"/>
                <w:szCs w:val="18"/>
              </w:rPr>
              <w:t xml:space="preserve">m significant sites as well as their usefulness in education and in </w:t>
            </w:r>
            <w:r w:rsidR="00EE7715" w:rsidRPr="008E25A4">
              <w:rPr>
                <w:sz w:val="18"/>
                <w:szCs w:val="18"/>
              </w:rPr>
              <w:t>developing an</w:t>
            </w:r>
            <w:r w:rsidRPr="008E25A4">
              <w:rPr>
                <w:sz w:val="18"/>
                <w:szCs w:val="18"/>
              </w:rPr>
              <w:t xml:space="preserve"> apprecia</w:t>
            </w:r>
            <w:r w:rsidR="00EE7715" w:rsidRPr="008E25A4">
              <w:rPr>
                <w:sz w:val="18"/>
                <w:szCs w:val="18"/>
              </w:rPr>
              <w:t>tion of cultural differences as well as the</w:t>
            </w:r>
            <w:r w:rsidRPr="008E25A4">
              <w:rPr>
                <w:sz w:val="18"/>
                <w:szCs w:val="18"/>
              </w:rPr>
              <w:t xml:space="preserve"> ethical issues involved</w:t>
            </w:r>
            <w:r w:rsidR="005D5FCB" w:rsidRPr="008E25A4">
              <w:rPr>
                <w:sz w:val="18"/>
                <w:szCs w:val="18"/>
              </w:rPr>
              <w:t xml:space="preserve"> in maintaining, restoring and/or removing</w:t>
            </w:r>
            <w:r w:rsidRPr="008E25A4">
              <w:rPr>
                <w:sz w:val="18"/>
                <w:szCs w:val="18"/>
              </w:rPr>
              <w:t xml:space="preserve"> artefacts from sites.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8E25A4" w:rsidRDefault="0084181B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8E25A4" w:rsidRDefault="00C4058C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1</w:t>
            </w:r>
            <w:r w:rsidR="0084181B">
              <w:rPr>
                <w:sz w:val="18"/>
                <w:szCs w:val="18"/>
                <w:lang w:val="en-US"/>
              </w:rPr>
              <w:t>,3</w:t>
            </w:r>
          </w:p>
        </w:tc>
        <w:tc>
          <w:tcPr>
            <w:tcW w:w="4818" w:type="dxa"/>
            <w:shd w:val="clear" w:color="auto" w:fill="auto"/>
          </w:tcPr>
          <w:p w:rsidR="002A53B7" w:rsidRPr="008E25A4" w:rsidRDefault="00573AA2" w:rsidP="00183C1A">
            <w:pPr>
              <w:pStyle w:val="ACLAPTableText"/>
              <w:spacing w:before="20" w:after="20"/>
              <w:rPr>
                <w:b/>
                <w:sz w:val="18"/>
                <w:szCs w:val="18"/>
              </w:rPr>
            </w:pPr>
            <w:r w:rsidRPr="008E25A4">
              <w:rPr>
                <w:b/>
                <w:sz w:val="18"/>
                <w:szCs w:val="18"/>
              </w:rPr>
              <w:t>Multimedia Presentation</w:t>
            </w:r>
          </w:p>
          <w:p w:rsidR="00573AA2" w:rsidRPr="008E25A4" w:rsidRDefault="00573AA2" w:rsidP="00476CCD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 xml:space="preserve">Students can choose between: </w:t>
            </w:r>
            <w:r w:rsidR="00476CCD">
              <w:rPr>
                <w:sz w:val="18"/>
                <w:szCs w:val="18"/>
              </w:rPr>
              <w:t xml:space="preserve">creating a website; </w:t>
            </w:r>
            <w:r w:rsidRPr="008E25A4">
              <w:rPr>
                <w:sz w:val="18"/>
                <w:szCs w:val="18"/>
              </w:rPr>
              <w:t>powerpoint</w:t>
            </w:r>
            <w:r w:rsidR="008E1C58" w:rsidRPr="008E25A4">
              <w:rPr>
                <w:sz w:val="18"/>
                <w:szCs w:val="18"/>
              </w:rPr>
              <w:t>/ report</w:t>
            </w:r>
            <w:r w:rsidR="00476CCD">
              <w:rPr>
                <w:sz w:val="18"/>
                <w:szCs w:val="18"/>
              </w:rPr>
              <w:t xml:space="preserve">, </w:t>
            </w:r>
            <w:r w:rsidR="00EE7715" w:rsidRPr="008E25A4">
              <w:rPr>
                <w:sz w:val="18"/>
                <w:szCs w:val="18"/>
              </w:rPr>
              <w:t>multimodal</w:t>
            </w:r>
            <w:r w:rsidRPr="008E25A4">
              <w:rPr>
                <w:sz w:val="18"/>
                <w:szCs w:val="18"/>
              </w:rPr>
              <w:t xml:space="preserve"> presentation </w:t>
            </w:r>
            <w:r w:rsidR="008E1C58" w:rsidRPr="008E25A4">
              <w:rPr>
                <w:sz w:val="18"/>
                <w:szCs w:val="18"/>
              </w:rPr>
              <w:t>of</w:t>
            </w:r>
            <w:r w:rsidRPr="008E25A4">
              <w:rPr>
                <w:sz w:val="18"/>
                <w:szCs w:val="18"/>
              </w:rPr>
              <w:t xml:space="preserve"> a visit to </w:t>
            </w:r>
            <w:r w:rsidR="008E1C58" w:rsidRPr="008E25A4">
              <w:rPr>
                <w:sz w:val="18"/>
                <w:szCs w:val="18"/>
              </w:rPr>
              <w:t>archaeological site</w:t>
            </w:r>
            <w:r w:rsidR="001A75E7" w:rsidRPr="008E25A4">
              <w:rPr>
                <w:sz w:val="18"/>
                <w:szCs w:val="18"/>
              </w:rPr>
              <w:t>.</w:t>
            </w:r>
          </w:p>
          <w:p w:rsidR="008E1C58" w:rsidRPr="008E25A4" w:rsidRDefault="008E1C58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They demonstrate knowledge of the civilisation and the particular issues involved in the preservation of artefacts from that civilisation</w:t>
            </w:r>
            <w:r w:rsidR="00CB102A" w:rsidRPr="008E25A4">
              <w:rPr>
                <w:sz w:val="18"/>
                <w:szCs w:val="18"/>
              </w:rPr>
              <w:t xml:space="preserve">, </w:t>
            </w:r>
            <w:r w:rsidR="00F170C8" w:rsidRPr="008E25A4">
              <w:rPr>
                <w:sz w:val="18"/>
                <w:szCs w:val="18"/>
              </w:rPr>
              <w:t>in</w:t>
            </w:r>
            <w:r w:rsidR="00CB102A" w:rsidRPr="008E25A4">
              <w:rPr>
                <w:sz w:val="18"/>
                <w:szCs w:val="18"/>
              </w:rPr>
              <w:t xml:space="preserve"> a maximum of 5 minutes.</w:t>
            </w:r>
          </w:p>
        </w:tc>
      </w:tr>
      <w:tr w:rsidR="002A53B7" w:rsidRPr="004963F3" w:rsidTr="008E25A4">
        <w:trPr>
          <w:trHeight w:val="1294"/>
        </w:trPr>
        <w:tc>
          <w:tcPr>
            <w:tcW w:w="1396" w:type="dxa"/>
            <w:vMerge/>
            <w:shd w:val="clear" w:color="auto" w:fill="auto"/>
            <w:vAlign w:val="center"/>
          </w:tcPr>
          <w:p w:rsidR="002A53B7" w:rsidRPr="001A75E7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35" w:type="dxa"/>
            <w:shd w:val="clear" w:color="auto" w:fill="auto"/>
          </w:tcPr>
          <w:p w:rsidR="002A53B7" w:rsidRPr="008E25A4" w:rsidRDefault="008E1C58" w:rsidP="00183C1A">
            <w:pPr>
              <w:pStyle w:val="ACLAPTableText"/>
              <w:spacing w:before="20" w:after="20"/>
              <w:rPr>
                <w:b/>
                <w:sz w:val="18"/>
                <w:szCs w:val="18"/>
              </w:rPr>
            </w:pPr>
            <w:r w:rsidRPr="008E25A4">
              <w:rPr>
                <w:b/>
                <w:sz w:val="18"/>
                <w:szCs w:val="18"/>
              </w:rPr>
              <w:t>Topic 3: Warfare and Conquest: Hellenistic Greece – Alexander the Great</w:t>
            </w:r>
          </w:p>
          <w:p w:rsidR="002A53B7" w:rsidRPr="008E25A4" w:rsidRDefault="00E04C9B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Students consider the impact of Alexander on the Hellenistic World. The</w:t>
            </w:r>
            <w:r w:rsidR="00F170C8" w:rsidRPr="008E25A4">
              <w:rPr>
                <w:sz w:val="18"/>
                <w:szCs w:val="18"/>
              </w:rPr>
              <w:t>y explore</w:t>
            </w:r>
            <w:r w:rsidRPr="008E25A4">
              <w:rPr>
                <w:sz w:val="18"/>
                <w:szCs w:val="18"/>
              </w:rPr>
              <w:t xml:space="preserve"> changes to the military, both technical and political, as well as the </w:t>
            </w:r>
            <w:r w:rsidR="00F170C8" w:rsidRPr="008E25A4">
              <w:rPr>
                <w:sz w:val="18"/>
                <w:szCs w:val="18"/>
              </w:rPr>
              <w:t>alterations</w:t>
            </w:r>
            <w:r w:rsidRPr="008E25A4">
              <w:rPr>
                <w:sz w:val="18"/>
                <w:szCs w:val="18"/>
              </w:rPr>
              <w:t xml:space="preserve"> to the balance of power, both during and after his death. They then consider how Alexander has been portrayed in contempo</w:t>
            </w:r>
            <w:r w:rsidR="003F3778" w:rsidRPr="008E25A4">
              <w:rPr>
                <w:sz w:val="18"/>
                <w:szCs w:val="18"/>
              </w:rPr>
              <w:t xml:space="preserve">rary popular culture, specifically by </w:t>
            </w:r>
            <w:r w:rsidRPr="008E25A4">
              <w:rPr>
                <w:sz w:val="18"/>
                <w:szCs w:val="18"/>
              </w:rPr>
              <w:t>view</w:t>
            </w:r>
            <w:r w:rsidR="003F3778" w:rsidRPr="008E25A4">
              <w:rPr>
                <w:sz w:val="18"/>
                <w:szCs w:val="18"/>
              </w:rPr>
              <w:t>ing</w:t>
            </w:r>
            <w:r w:rsidRPr="008E25A4">
              <w:rPr>
                <w:sz w:val="18"/>
                <w:szCs w:val="18"/>
              </w:rPr>
              <w:t xml:space="preserve"> the 2004 film </w:t>
            </w:r>
            <w:r w:rsidRPr="008E25A4">
              <w:rPr>
                <w:i/>
                <w:sz w:val="18"/>
                <w:szCs w:val="18"/>
              </w:rPr>
              <w:t>Alexander</w:t>
            </w:r>
            <w:r w:rsidR="003F3778" w:rsidRPr="008E25A4">
              <w:rPr>
                <w:sz w:val="18"/>
                <w:szCs w:val="18"/>
              </w:rPr>
              <w:t xml:space="preserve"> as well as engaging</w:t>
            </w:r>
            <w:r w:rsidRPr="008E25A4">
              <w:rPr>
                <w:sz w:val="18"/>
                <w:szCs w:val="18"/>
              </w:rPr>
              <w:t xml:space="preserve"> in readings from historical novels.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15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1</w:t>
            </w:r>
            <w:r w:rsidR="0084181B">
              <w:rPr>
                <w:sz w:val="18"/>
                <w:szCs w:val="18"/>
                <w:lang w:val="en-US"/>
              </w:rPr>
              <w:t xml:space="preserve">, </w:t>
            </w:r>
            <w:r w:rsidRPr="008E25A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3B7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2A53B7" w:rsidRPr="008E25A4" w:rsidRDefault="00E04C9B" w:rsidP="00183C1A">
            <w:pPr>
              <w:pStyle w:val="ACLAPTableText"/>
              <w:spacing w:before="20" w:after="20"/>
              <w:rPr>
                <w:b/>
                <w:sz w:val="18"/>
                <w:szCs w:val="18"/>
              </w:rPr>
            </w:pPr>
            <w:r w:rsidRPr="008E25A4">
              <w:rPr>
                <w:b/>
                <w:sz w:val="18"/>
                <w:szCs w:val="18"/>
              </w:rPr>
              <w:t>Creative Response</w:t>
            </w:r>
          </w:p>
          <w:p w:rsidR="00E04C9B" w:rsidRPr="008E25A4" w:rsidRDefault="00E04C9B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Maximum of 800 words.</w:t>
            </w:r>
          </w:p>
          <w:p w:rsidR="00E04C9B" w:rsidRPr="008E25A4" w:rsidRDefault="00E04C9B" w:rsidP="00924FB1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Students can choose between writing:</w:t>
            </w:r>
            <w:r w:rsidR="00924FB1">
              <w:rPr>
                <w:sz w:val="18"/>
                <w:szCs w:val="18"/>
              </w:rPr>
              <w:t xml:space="preserve"> </w:t>
            </w:r>
            <w:r w:rsidRPr="008E25A4">
              <w:rPr>
                <w:sz w:val="18"/>
                <w:szCs w:val="18"/>
              </w:rPr>
              <w:t>a narrative</w:t>
            </w:r>
            <w:r w:rsidR="00924FB1">
              <w:rPr>
                <w:sz w:val="18"/>
                <w:szCs w:val="18"/>
              </w:rPr>
              <w:t>,</w:t>
            </w:r>
            <w:r w:rsidRPr="008E25A4">
              <w:rPr>
                <w:sz w:val="18"/>
                <w:szCs w:val="18"/>
              </w:rPr>
              <w:t xml:space="preserve"> recount/journal</w:t>
            </w:r>
            <w:r w:rsidR="00924FB1">
              <w:rPr>
                <w:sz w:val="18"/>
                <w:szCs w:val="18"/>
              </w:rPr>
              <w:t xml:space="preserve">, </w:t>
            </w:r>
            <w:r w:rsidR="00A57080" w:rsidRPr="008E25A4">
              <w:rPr>
                <w:sz w:val="18"/>
                <w:szCs w:val="18"/>
              </w:rPr>
              <w:t>scripted role play</w:t>
            </w:r>
            <w:r w:rsidR="00924FB1">
              <w:rPr>
                <w:sz w:val="18"/>
                <w:szCs w:val="18"/>
              </w:rPr>
              <w:t xml:space="preserve">, </w:t>
            </w:r>
            <w:r w:rsidR="00A57080" w:rsidRPr="008E25A4">
              <w:rPr>
                <w:sz w:val="18"/>
                <w:szCs w:val="18"/>
              </w:rPr>
              <w:t>script for a radio play or interview</w:t>
            </w:r>
            <w:r w:rsidR="001A75E7" w:rsidRPr="008E25A4">
              <w:rPr>
                <w:sz w:val="18"/>
                <w:szCs w:val="18"/>
              </w:rPr>
              <w:t>.</w:t>
            </w:r>
          </w:p>
        </w:tc>
      </w:tr>
      <w:tr w:rsidR="002A53B7" w:rsidRPr="004963F3" w:rsidTr="008E25A4">
        <w:trPr>
          <w:trHeight w:val="1603"/>
        </w:trPr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Pr="001A75E7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35" w:type="dxa"/>
            <w:tcBorders>
              <w:top w:val="single" w:sz="12" w:space="0" w:color="auto"/>
            </w:tcBorders>
            <w:shd w:val="clear" w:color="auto" w:fill="auto"/>
          </w:tcPr>
          <w:p w:rsidR="002A53B7" w:rsidRPr="008E25A4" w:rsidRDefault="00A57080" w:rsidP="00183C1A">
            <w:pPr>
              <w:pStyle w:val="ACLAPTableText"/>
              <w:spacing w:before="20" w:after="20"/>
              <w:rPr>
                <w:b/>
                <w:sz w:val="18"/>
                <w:szCs w:val="18"/>
                <w:lang w:val="en-US"/>
              </w:rPr>
            </w:pPr>
            <w:r w:rsidRPr="008E25A4">
              <w:rPr>
                <w:b/>
                <w:sz w:val="18"/>
                <w:szCs w:val="18"/>
                <w:lang w:val="en-US"/>
              </w:rPr>
              <w:t>Topic 2: Art, Architecture and Technology</w:t>
            </w:r>
            <w:r w:rsidR="00995503" w:rsidRPr="008E25A4">
              <w:rPr>
                <w:b/>
                <w:sz w:val="18"/>
                <w:szCs w:val="18"/>
                <w:lang w:val="en-US"/>
              </w:rPr>
              <w:t xml:space="preserve"> – Comparative Study</w:t>
            </w:r>
          </w:p>
          <w:p w:rsidR="00924FB1" w:rsidRPr="008E25A4" w:rsidRDefault="00A57080" w:rsidP="00924FB1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  <w:lang w:val="en-US"/>
              </w:rPr>
              <w:t>Students explore developments in materia</w:t>
            </w:r>
            <w:r w:rsidR="009A32FF" w:rsidRPr="008E25A4">
              <w:rPr>
                <w:sz w:val="18"/>
                <w:szCs w:val="18"/>
                <w:lang w:val="en-US"/>
              </w:rPr>
              <w:t>l culture within Egypt’s</w:t>
            </w:r>
            <w:r w:rsidRPr="008E25A4">
              <w:rPr>
                <w:sz w:val="18"/>
                <w:szCs w:val="18"/>
                <w:lang w:val="en-US"/>
              </w:rPr>
              <w:t xml:space="preserve"> Old and Middle Kingdoms and Classical Greece. They examine the technologies that enable</w:t>
            </w:r>
            <w:r w:rsidR="00EE7715" w:rsidRPr="008E25A4">
              <w:rPr>
                <w:sz w:val="18"/>
                <w:szCs w:val="18"/>
                <w:lang w:val="en-US"/>
              </w:rPr>
              <w:t>d</w:t>
            </w:r>
            <w:r w:rsidRPr="008E25A4">
              <w:rPr>
                <w:sz w:val="18"/>
                <w:szCs w:val="18"/>
                <w:lang w:val="en-US"/>
              </w:rPr>
              <w:t xml:space="preserve"> the building of the Pyramids, and the Parthenon. They also </w:t>
            </w:r>
            <w:r w:rsidR="009A32FF" w:rsidRPr="008E25A4">
              <w:rPr>
                <w:sz w:val="18"/>
                <w:szCs w:val="18"/>
                <w:lang w:val="en-US"/>
              </w:rPr>
              <w:t>analyse</w:t>
            </w:r>
            <w:r w:rsidRPr="008E25A4">
              <w:rPr>
                <w:sz w:val="18"/>
                <w:szCs w:val="18"/>
                <w:lang w:val="en-US"/>
              </w:rPr>
              <w:t xml:space="preserve"> </w:t>
            </w:r>
            <w:r w:rsidR="009A32FF" w:rsidRPr="008E25A4">
              <w:rPr>
                <w:sz w:val="18"/>
                <w:szCs w:val="18"/>
                <w:lang w:val="en-US"/>
              </w:rPr>
              <w:t xml:space="preserve">paintings and sculpture </w:t>
            </w:r>
            <w:r w:rsidRPr="008E25A4">
              <w:rPr>
                <w:sz w:val="18"/>
                <w:szCs w:val="18"/>
                <w:lang w:val="en-US"/>
              </w:rPr>
              <w:t xml:space="preserve">from both </w:t>
            </w:r>
            <w:r w:rsidR="00924FB1" w:rsidRPr="008E25A4">
              <w:rPr>
                <w:sz w:val="18"/>
                <w:szCs w:val="18"/>
                <w:lang w:val="en-US"/>
              </w:rPr>
              <w:t>civilizations</w:t>
            </w:r>
            <w:r w:rsidR="009A32FF" w:rsidRPr="008E25A4">
              <w:rPr>
                <w:sz w:val="18"/>
                <w:szCs w:val="18"/>
                <w:lang w:val="en-US"/>
              </w:rPr>
              <w:t>,</w:t>
            </w:r>
            <w:r w:rsidRPr="008E25A4">
              <w:rPr>
                <w:sz w:val="18"/>
                <w:szCs w:val="18"/>
                <w:lang w:val="en-US"/>
              </w:rPr>
              <w:t xml:space="preserve"> </w:t>
            </w:r>
            <w:r w:rsidR="00EE7715" w:rsidRPr="008E25A4">
              <w:rPr>
                <w:sz w:val="18"/>
                <w:szCs w:val="18"/>
                <w:lang w:val="en-US"/>
              </w:rPr>
              <w:t>as well as</w:t>
            </w:r>
            <w:r w:rsidRPr="008E25A4">
              <w:rPr>
                <w:sz w:val="18"/>
                <w:szCs w:val="18"/>
                <w:lang w:val="en-US"/>
              </w:rPr>
              <w:t xml:space="preserve"> advances in tools and infr</w:t>
            </w:r>
            <w:r w:rsidR="009A32FF" w:rsidRPr="008E25A4">
              <w:rPr>
                <w:sz w:val="18"/>
                <w:szCs w:val="18"/>
                <w:lang w:val="en-US"/>
              </w:rPr>
              <w:t>astructure,</w:t>
            </w:r>
            <w:r w:rsidR="00995503" w:rsidRPr="008E25A4">
              <w:rPr>
                <w:sz w:val="18"/>
                <w:szCs w:val="18"/>
                <w:lang w:val="en-US"/>
              </w:rPr>
              <w:t xml:space="preserve"> and how they impacted on the sustaina</w:t>
            </w:r>
            <w:r w:rsidR="009A32FF" w:rsidRPr="008E25A4">
              <w:rPr>
                <w:sz w:val="18"/>
                <w:szCs w:val="18"/>
                <w:lang w:val="en-US"/>
              </w:rPr>
              <w:t>bility and economic development</w:t>
            </w:r>
            <w:r w:rsidR="00995503" w:rsidRPr="008E25A4">
              <w:rPr>
                <w:sz w:val="18"/>
                <w:szCs w:val="18"/>
                <w:lang w:val="en-US"/>
              </w:rPr>
              <w:t>.</w:t>
            </w:r>
            <w:r w:rsidR="00924FB1" w:rsidRPr="008E25A4">
              <w:rPr>
                <w:sz w:val="18"/>
                <w:szCs w:val="18"/>
              </w:rPr>
              <w:t xml:space="preserve"> Students will choose their own source.</w:t>
            </w:r>
          </w:p>
          <w:p w:rsidR="00A57080" w:rsidRPr="008E25A4" w:rsidRDefault="00924FB1" w:rsidP="00924FB1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</w:rPr>
              <w:t xml:space="preserve">I.e. The Valley of Kings; The Athenian Acropolis; A particular art style or artist (such as </w:t>
            </w:r>
            <w:r w:rsidRPr="008E25A4">
              <w:rPr>
                <w:rStyle w:val="st"/>
                <w:sz w:val="18"/>
                <w:szCs w:val="18"/>
              </w:rPr>
              <w:t>Phidias) or a particular technology (i.e. sanitation; surgical tools; transport/roads) and write an analysis explaining the significance of the site, artist or technology to their times and to other cultures and societies.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Pr="008E25A4" w:rsidRDefault="0084181B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2</w:t>
            </w:r>
            <w:r w:rsidR="0084181B">
              <w:rPr>
                <w:sz w:val="18"/>
                <w:szCs w:val="18"/>
                <w:lang w:val="en-US"/>
              </w:rPr>
              <w:t xml:space="preserve">, </w:t>
            </w:r>
            <w:r w:rsidR="009A32FF" w:rsidRPr="008E25A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18" w:type="dxa"/>
            <w:tcBorders>
              <w:top w:val="single" w:sz="12" w:space="0" w:color="auto"/>
            </w:tcBorders>
            <w:shd w:val="clear" w:color="auto" w:fill="auto"/>
          </w:tcPr>
          <w:p w:rsidR="002A53B7" w:rsidRPr="008E25A4" w:rsidRDefault="00995503" w:rsidP="00183C1A">
            <w:pPr>
              <w:pStyle w:val="ACLAPTableText"/>
              <w:spacing w:before="20" w:after="20"/>
              <w:rPr>
                <w:b/>
                <w:sz w:val="18"/>
                <w:szCs w:val="18"/>
              </w:rPr>
            </w:pPr>
            <w:r w:rsidRPr="008E25A4">
              <w:rPr>
                <w:b/>
                <w:sz w:val="18"/>
                <w:szCs w:val="18"/>
              </w:rPr>
              <w:t>Source Analysis</w:t>
            </w:r>
          </w:p>
          <w:p w:rsidR="00995503" w:rsidRPr="008E25A4" w:rsidRDefault="00995503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Maximum of 800 words</w:t>
            </w:r>
          </w:p>
          <w:p w:rsidR="00995503" w:rsidRPr="008E25A4" w:rsidRDefault="00995503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</w:p>
        </w:tc>
      </w:tr>
      <w:tr w:rsidR="002A53B7" w:rsidRPr="004963F3" w:rsidTr="008E25A4">
        <w:trPr>
          <w:trHeight w:val="1184"/>
        </w:trPr>
        <w:tc>
          <w:tcPr>
            <w:tcW w:w="1396" w:type="dxa"/>
            <w:shd w:val="clear" w:color="auto" w:fill="auto"/>
            <w:vAlign w:val="center"/>
          </w:tcPr>
          <w:p w:rsidR="002A53B7" w:rsidRPr="001A75E7" w:rsidRDefault="009A32FF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1A75E7">
              <w:rPr>
                <w:b/>
                <w:lang w:val="en-US"/>
              </w:rPr>
              <w:t>Inquiry</w:t>
            </w:r>
          </w:p>
          <w:p w:rsidR="002A53B7" w:rsidRPr="001A75E7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A53B7" w:rsidRPr="001A75E7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1A75E7">
              <w:rPr>
                <w:b/>
                <w:lang w:val="en-US"/>
              </w:rPr>
              <w:t>Weighting</w:t>
            </w:r>
          </w:p>
          <w:p w:rsidR="002A53B7" w:rsidRPr="001A75E7" w:rsidRDefault="003F774F" w:rsidP="00BA2185">
            <w:pPr>
              <w:pStyle w:val="LAPTableTex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</w:t>
            </w:r>
            <w:r w:rsidR="002A53B7" w:rsidRPr="001A75E7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7535" w:type="dxa"/>
            <w:shd w:val="clear" w:color="auto" w:fill="auto"/>
          </w:tcPr>
          <w:p w:rsidR="00761E0C" w:rsidRPr="008E25A4" w:rsidRDefault="00761E0C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In neg</w:t>
            </w:r>
            <w:r w:rsidR="009A32FF" w:rsidRPr="008E25A4">
              <w:rPr>
                <w:sz w:val="18"/>
                <w:szCs w:val="18"/>
                <w:lang w:val="en-US"/>
              </w:rPr>
              <w:t>oti</w:t>
            </w:r>
            <w:r w:rsidRPr="008E25A4">
              <w:rPr>
                <w:sz w:val="18"/>
                <w:szCs w:val="18"/>
                <w:lang w:val="en-US"/>
              </w:rPr>
              <w:t>ation with the teacher s</w:t>
            </w:r>
            <w:r w:rsidR="00995503" w:rsidRPr="008E25A4">
              <w:rPr>
                <w:sz w:val="18"/>
                <w:szCs w:val="18"/>
                <w:lang w:val="en-US"/>
              </w:rPr>
              <w:t>tudents develop an essay question on</w:t>
            </w:r>
            <w:r w:rsidR="009A32FF" w:rsidRPr="008E25A4">
              <w:rPr>
                <w:sz w:val="18"/>
                <w:szCs w:val="18"/>
                <w:lang w:val="en-US"/>
              </w:rPr>
              <w:t xml:space="preserve"> Hellenistic Greece, </w:t>
            </w:r>
            <w:r w:rsidR="00503BC3" w:rsidRPr="008E25A4">
              <w:rPr>
                <w:sz w:val="18"/>
                <w:szCs w:val="18"/>
                <w:lang w:val="en-US"/>
              </w:rPr>
              <w:t>focusing</w:t>
            </w:r>
            <w:r w:rsidR="009A32FF" w:rsidRPr="008E25A4">
              <w:rPr>
                <w:sz w:val="18"/>
                <w:szCs w:val="18"/>
                <w:lang w:val="en-US"/>
              </w:rPr>
              <w:t xml:space="preserve"> on Alexander, the fall of the Persian Empire,</w:t>
            </w:r>
            <w:r w:rsidR="00503BC3" w:rsidRPr="008E25A4">
              <w:rPr>
                <w:sz w:val="18"/>
                <w:szCs w:val="18"/>
                <w:lang w:val="en-US"/>
              </w:rPr>
              <w:t xml:space="preserve"> p</w:t>
            </w:r>
            <w:r w:rsidR="00995503" w:rsidRPr="008E25A4">
              <w:rPr>
                <w:sz w:val="18"/>
                <w:szCs w:val="18"/>
                <w:lang w:val="en-US"/>
              </w:rPr>
              <w:t>hilosophy</w:t>
            </w:r>
            <w:r w:rsidR="00EE7715" w:rsidRPr="008E25A4">
              <w:rPr>
                <w:sz w:val="18"/>
                <w:szCs w:val="18"/>
                <w:lang w:val="en-US"/>
              </w:rPr>
              <w:t xml:space="preserve"> and the growth of Hellenistic reasoning</w:t>
            </w:r>
            <w:r w:rsidR="009A32FF" w:rsidRPr="008E25A4">
              <w:rPr>
                <w:sz w:val="18"/>
                <w:szCs w:val="18"/>
                <w:lang w:val="en-US"/>
              </w:rPr>
              <w:t>,</w:t>
            </w:r>
            <w:r w:rsidR="00995503" w:rsidRPr="008E25A4">
              <w:rPr>
                <w:sz w:val="18"/>
                <w:szCs w:val="18"/>
                <w:lang w:val="en-US"/>
              </w:rPr>
              <w:t xml:space="preserve"> the </w:t>
            </w:r>
            <w:r w:rsidR="00EE7715" w:rsidRPr="008E25A4">
              <w:rPr>
                <w:sz w:val="18"/>
                <w:szCs w:val="18"/>
                <w:lang w:val="en-US"/>
              </w:rPr>
              <w:t xml:space="preserve">political, artistic or architectural significance of the Egyptian city of </w:t>
            </w:r>
            <w:r w:rsidR="00995503" w:rsidRPr="008E25A4">
              <w:rPr>
                <w:sz w:val="18"/>
                <w:szCs w:val="18"/>
                <w:lang w:val="en-US"/>
              </w:rPr>
              <w:t>Alexand</w:t>
            </w:r>
            <w:r w:rsidR="00EE7715" w:rsidRPr="008E25A4">
              <w:rPr>
                <w:sz w:val="18"/>
                <w:szCs w:val="18"/>
                <w:lang w:val="en-US"/>
              </w:rPr>
              <w:t>ria</w:t>
            </w:r>
            <w:r w:rsidR="009A32FF" w:rsidRPr="008E25A4">
              <w:rPr>
                <w:sz w:val="18"/>
                <w:szCs w:val="18"/>
                <w:lang w:val="en-US"/>
              </w:rPr>
              <w:t>, or</w:t>
            </w:r>
            <w:r w:rsidRPr="008E25A4">
              <w:rPr>
                <w:sz w:val="18"/>
                <w:szCs w:val="18"/>
                <w:lang w:val="en-US"/>
              </w:rPr>
              <w:t xml:space="preserve"> the repercussions of Empire.</w:t>
            </w:r>
            <w:r w:rsidR="00924FB1">
              <w:rPr>
                <w:sz w:val="18"/>
                <w:szCs w:val="18"/>
                <w:lang w:val="en-US"/>
              </w:rPr>
              <w:t xml:space="preserve"> </w:t>
            </w:r>
            <w:r w:rsidR="009A32FF" w:rsidRPr="008E25A4">
              <w:rPr>
                <w:sz w:val="18"/>
                <w:szCs w:val="18"/>
                <w:lang w:val="en-US"/>
              </w:rPr>
              <w:t>They will identify five</w:t>
            </w:r>
            <w:r w:rsidRPr="008E25A4">
              <w:rPr>
                <w:sz w:val="18"/>
                <w:szCs w:val="18"/>
                <w:lang w:val="en-US"/>
              </w:rPr>
              <w:t xml:space="preserve"> reliable sources, both primary and secondary upon which to base their essay.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15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2</w:t>
            </w:r>
            <w:r w:rsidR="0084181B">
              <w:rPr>
                <w:sz w:val="18"/>
                <w:szCs w:val="18"/>
                <w:lang w:val="en-US"/>
              </w:rPr>
              <w:t>,</w:t>
            </w:r>
            <w:r w:rsidRPr="008E25A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15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15" w:rsidRPr="008E25A4" w:rsidRDefault="00EE7715" w:rsidP="00183C1A">
            <w:pPr>
              <w:pStyle w:val="ACLAPTableText"/>
              <w:spacing w:before="20" w:after="20"/>
              <w:rPr>
                <w:sz w:val="18"/>
                <w:szCs w:val="18"/>
                <w:lang w:val="en-US"/>
              </w:rPr>
            </w:pPr>
            <w:r w:rsidRPr="008E25A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2A53B7" w:rsidRPr="008E25A4" w:rsidRDefault="00503BC3" w:rsidP="00183C1A">
            <w:pPr>
              <w:pStyle w:val="ACLAPTableText"/>
              <w:spacing w:before="20" w:after="20"/>
              <w:rPr>
                <w:b/>
                <w:sz w:val="18"/>
                <w:szCs w:val="18"/>
              </w:rPr>
            </w:pPr>
            <w:r w:rsidRPr="008E25A4">
              <w:rPr>
                <w:b/>
                <w:sz w:val="18"/>
                <w:szCs w:val="18"/>
              </w:rPr>
              <w:t>Inquiry</w:t>
            </w:r>
          </w:p>
          <w:p w:rsidR="00761E0C" w:rsidRPr="008E25A4" w:rsidRDefault="003F774F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10</w:t>
            </w:r>
            <w:r w:rsidR="00761E0C" w:rsidRPr="008E25A4">
              <w:rPr>
                <w:sz w:val="18"/>
                <w:szCs w:val="18"/>
              </w:rPr>
              <w:t>00 words</w:t>
            </w:r>
          </w:p>
          <w:p w:rsidR="00761E0C" w:rsidRPr="008E25A4" w:rsidRDefault="00761E0C" w:rsidP="00183C1A">
            <w:pPr>
              <w:pStyle w:val="ACLAPTableText"/>
              <w:spacing w:before="20" w:after="20"/>
              <w:rPr>
                <w:sz w:val="18"/>
                <w:szCs w:val="18"/>
              </w:rPr>
            </w:pPr>
            <w:r w:rsidRPr="008E25A4">
              <w:rPr>
                <w:sz w:val="18"/>
                <w:szCs w:val="18"/>
              </w:rPr>
              <w:t>Students wi</w:t>
            </w:r>
            <w:r w:rsidR="00F04465" w:rsidRPr="008E25A4">
              <w:rPr>
                <w:sz w:val="18"/>
                <w:szCs w:val="18"/>
              </w:rPr>
              <w:t>ll write a formal essay</w:t>
            </w:r>
            <w:r w:rsidRPr="008E25A4">
              <w:rPr>
                <w:sz w:val="18"/>
                <w:szCs w:val="18"/>
              </w:rPr>
              <w:t xml:space="preserve"> incorporating quotation</w:t>
            </w:r>
            <w:r w:rsidR="00F04465" w:rsidRPr="008E25A4">
              <w:rPr>
                <w:sz w:val="18"/>
                <w:szCs w:val="18"/>
              </w:rPr>
              <w:t>s</w:t>
            </w:r>
            <w:r w:rsidRPr="008E25A4">
              <w:rPr>
                <w:sz w:val="18"/>
                <w:szCs w:val="18"/>
              </w:rPr>
              <w:t xml:space="preserve"> from both primary and secondary sources which must be correctly referenced. The essay must be accompanied by a bibliography. </w:t>
            </w:r>
          </w:p>
        </w:tc>
      </w:tr>
    </w:tbl>
    <w:p w:rsidR="00D732EE" w:rsidRPr="001A75E7" w:rsidRDefault="002A53B7" w:rsidP="00E021FF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Four assessments.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E021FF">
        <w:rPr>
          <w:rFonts w:cs="Arial"/>
          <w:i/>
          <w:iCs/>
          <w:sz w:val="20"/>
          <w:szCs w:val="20"/>
          <w:lang w:val="en-US"/>
        </w:rPr>
        <w:t>Ancient Studies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D732EE" w:rsidRPr="001A75E7" w:rsidSect="008E25A4">
      <w:headerReference w:type="first" r:id="rId11"/>
      <w:footerReference w:type="first" r:id="rId12"/>
      <w:pgSz w:w="16838" w:h="11906" w:orient="landscape" w:code="237"/>
      <w:pgMar w:top="56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F2" w:rsidRDefault="008C3DF2">
      <w:r>
        <w:separator/>
      </w:r>
    </w:p>
  </w:endnote>
  <w:endnote w:type="continuationSeparator" w:id="0">
    <w:p w:rsidR="008C3DF2" w:rsidRDefault="008C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B7" w:rsidRDefault="002A53B7" w:rsidP="00983173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F5780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F5780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E021FF">
      <w:t>Ancient Studies</w:t>
    </w:r>
    <w:r>
      <w:t xml:space="preserve"> pre-approved </w:t>
    </w:r>
    <w:r w:rsidR="00983173">
      <w:t>LAP-05</w:t>
    </w:r>
    <w:r w:rsidR="00E021FF">
      <w:t xml:space="preserve"> (for use from 2017</w:t>
    </w:r>
    <w:r>
      <w:t>)</w:t>
    </w:r>
  </w:p>
  <w:p w:rsidR="002A53B7" w:rsidRPr="00AD3BD3" w:rsidRDefault="002A53B7" w:rsidP="00983173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8E25A4">
        <w:t>A560454</w:t>
      </w:r>
    </w:fldSimple>
    <w:r w:rsidR="00D732EE" w:rsidRPr="00AD3BD3">
      <w:t xml:space="preserve"> </w:t>
    </w:r>
    <w:r w:rsidR="00D732EE">
      <w:t xml:space="preserve"> </w:t>
    </w:r>
    <w:r w:rsidRPr="00AD3BD3">
      <w:t>(</w:t>
    </w:r>
    <w:r w:rsidR="00983173">
      <w:t>26 September 2016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983173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F5780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F5780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E021FF">
      <w:t>Ancient Studies</w:t>
    </w:r>
    <w:r>
      <w:t xml:space="preserve"> </w:t>
    </w:r>
    <w:r w:rsidR="002A53B7">
      <w:t>pre-approved</w:t>
    </w:r>
    <w:r>
      <w:t xml:space="preserve"> </w:t>
    </w:r>
    <w:r w:rsidR="00983173">
      <w:t>LAP-05</w:t>
    </w:r>
    <w:r w:rsidR="00E021FF">
      <w:t xml:space="preserve"> (for use from 2017</w:t>
    </w:r>
    <w:r>
      <w:t>)</w:t>
    </w:r>
  </w:p>
  <w:p w:rsidR="00BA2185" w:rsidRPr="00AD3BD3" w:rsidRDefault="00BA2185" w:rsidP="00983173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8E25A4">
        <w:t>A560454</w:t>
      </w:r>
    </w:fldSimple>
    <w:r w:rsidR="00D732EE" w:rsidRPr="00AD3BD3">
      <w:t xml:space="preserve"> </w:t>
    </w:r>
    <w:r w:rsidRPr="00AD3BD3">
      <w:t>(</w:t>
    </w:r>
    <w:r w:rsidR="00983173">
      <w:t>26 September</w:t>
    </w:r>
    <w:r w:rsidR="00E021FF">
      <w:t xml:space="preserve"> 2016</w:t>
    </w:r>
    <w:r>
      <w:t>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F2" w:rsidRDefault="008C3DF2">
      <w:r>
        <w:separator/>
      </w:r>
    </w:p>
  </w:footnote>
  <w:footnote w:type="continuationSeparator" w:id="0">
    <w:p w:rsidR="008C3DF2" w:rsidRDefault="008C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5F5780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52600" cy="609600"/>
          <wp:effectExtent l="0" t="0" r="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C6DC6"/>
    <w:multiLevelType w:val="hybridMultilevel"/>
    <w:tmpl w:val="0FB02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EC7E7D"/>
    <w:multiLevelType w:val="hybridMultilevel"/>
    <w:tmpl w:val="96CCB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4D3A60"/>
    <w:multiLevelType w:val="hybridMultilevel"/>
    <w:tmpl w:val="8C2C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0C7F"/>
    <w:rsid w:val="00052DD3"/>
    <w:rsid w:val="00057EBC"/>
    <w:rsid w:val="00063CA9"/>
    <w:rsid w:val="00066921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3C1A"/>
    <w:rsid w:val="00184222"/>
    <w:rsid w:val="00190550"/>
    <w:rsid w:val="00195415"/>
    <w:rsid w:val="001A4E06"/>
    <w:rsid w:val="001A75E7"/>
    <w:rsid w:val="001B2B32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656F"/>
    <w:rsid w:val="002D7CEB"/>
    <w:rsid w:val="002E0C15"/>
    <w:rsid w:val="002E5884"/>
    <w:rsid w:val="002F2F32"/>
    <w:rsid w:val="00302F9C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234A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3F3778"/>
    <w:rsid w:val="003F774F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76CCD"/>
    <w:rsid w:val="004A265C"/>
    <w:rsid w:val="004A4FF7"/>
    <w:rsid w:val="004C0B24"/>
    <w:rsid w:val="004C3EBC"/>
    <w:rsid w:val="004C6ABF"/>
    <w:rsid w:val="004D254A"/>
    <w:rsid w:val="004D4BEC"/>
    <w:rsid w:val="004E18D1"/>
    <w:rsid w:val="004F44CC"/>
    <w:rsid w:val="00503362"/>
    <w:rsid w:val="00503BC3"/>
    <w:rsid w:val="005068CA"/>
    <w:rsid w:val="00511F01"/>
    <w:rsid w:val="00512A95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73AA2"/>
    <w:rsid w:val="005859E4"/>
    <w:rsid w:val="005874B0"/>
    <w:rsid w:val="005963A4"/>
    <w:rsid w:val="005A4299"/>
    <w:rsid w:val="005A5689"/>
    <w:rsid w:val="005A678C"/>
    <w:rsid w:val="005B25BD"/>
    <w:rsid w:val="005B27B2"/>
    <w:rsid w:val="005B7726"/>
    <w:rsid w:val="005D094B"/>
    <w:rsid w:val="005D13BB"/>
    <w:rsid w:val="005D380B"/>
    <w:rsid w:val="005D5073"/>
    <w:rsid w:val="005D5FCB"/>
    <w:rsid w:val="005E0D4C"/>
    <w:rsid w:val="005E0E64"/>
    <w:rsid w:val="005F024A"/>
    <w:rsid w:val="005F061C"/>
    <w:rsid w:val="005F251D"/>
    <w:rsid w:val="005F2B4D"/>
    <w:rsid w:val="005F4090"/>
    <w:rsid w:val="005F578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038D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30C1A"/>
    <w:rsid w:val="007471E7"/>
    <w:rsid w:val="0074792E"/>
    <w:rsid w:val="0075733C"/>
    <w:rsid w:val="00760088"/>
    <w:rsid w:val="00761E0C"/>
    <w:rsid w:val="00763AFB"/>
    <w:rsid w:val="00772AED"/>
    <w:rsid w:val="007810D8"/>
    <w:rsid w:val="007869C8"/>
    <w:rsid w:val="007B3BEB"/>
    <w:rsid w:val="007B75A6"/>
    <w:rsid w:val="007C07CE"/>
    <w:rsid w:val="007C245C"/>
    <w:rsid w:val="007C7E0B"/>
    <w:rsid w:val="007D3803"/>
    <w:rsid w:val="007D72A8"/>
    <w:rsid w:val="007F2005"/>
    <w:rsid w:val="007F25DC"/>
    <w:rsid w:val="007F53F7"/>
    <w:rsid w:val="007F6A1F"/>
    <w:rsid w:val="007F76BE"/>
    <w:rsid w:val="0080194B"/>
    <w:rsid w:val="00801B35"/>
    <w:rsid w:val="00810B6A"/>
    <w:rsid w:val="0081568E"/>
    <w:rsid w:val="00816578"/>
    <w:rsid w:val="0081701F"/>
    <w:rsid w:val="00817864"/>
    <w:rsid w:val="00820FC7"/>
    <w:rsid w:val="00825656"/>
    <w:rsid w:val="008370EB"/>
    <w:rsid w:val="00840ECC"/>
    <w:rsid w:val="0084181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C3DF2"/>
    <w:rsid w:val="008D1655"/>
    <w:rsid w:val="008D327A"/>
    <w:rsid w:val="008D73E1"/>
    <w:rsid w:val="008E1C58"/>
    <w:rsid w:val="008E25A4"/>
    <w:rsid w:val="008E543D"/>
    <w:rsid w:val="00924FB1"/>
    <w:rsid w:val="00933369"/>
    <w:rsid w:val="009369A1"/>
    <w:rsid w:val="00940246"/>
    <w:rsid w:val="009415BC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83173"/>
    <w:rsid w:val="00991F99"/>
    <w:rsid w:val="0099399F"/>
    <w:rsid w:val="00995503"/>
    <w:rsid w:val="009A19D9"/>
    <w:rsid w:val="009A32FF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7080"/>
    <w:rsid w:val="00A57D2D"/>
    <w:rsid w:val="00A62C00"/>
    <w:rsid w:val="00A73078"/>
    <w:rsid w:val="00A840FD"/>
    <w:rsid w:val="00A86047"/>
    <w:rsid w:val="00A87E4B"/>
    <w:rsid w:val="00AA3BF9"/>
    <w:rsid w:val="00AA3F1B"/>
    <w:rsid w:val="00AA49E5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6AD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058C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B102A"/>
    <w:rsid w:val="00CC1F8A"/>
    <w:rsid w:val="00CC2DB2"/>
    <w:rsid w:val="00CC346D"/>
    <w:rsid w:val="00CD06DE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7F6E"/>
    <w:rsid w:val="00D53DB2"/>
    <w:rsid w:val="00D55A43"/>
    <w:rsid w:val="00D61756"/>
    <w:rsid w:val="00D705BE"/>
    <w:rsid w:val="00D732EE"/>
    <w:rsid w:val="00D73CF0"/>
    <w:rsid w:val="00D817CB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E021FF"/>
    <w:rsid w:val="00E04C9B"/>
    <w:rsid w:val="00E07410"/>
    <w:rsid w:val="00E10778"/>
    <w:rsid w:val="00E11E17"/>
    <w:rsid w:val="00E13855"/>
    <w:rsid w:val="00E23540"/>
    <w:rsid w:val="00E33BD4"/>
    <w:rsid w:val="00E464EF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461A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E7715"/>
    <w:rsid w:val="00EF5BDD"/>
    <w:rsid w:val="00F03861"/>
    <w:rsid w:val="00F04465"/>
    <w:rsid w:val="00F137D0"/>
    <w:rsid w:val="00F170C8"/>
    <w:rsid w:val="00F25793"/>
    <w:rsid w:val="00F5023B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character" w:customStyle="1" w:styleId="st">
    <w:name w:val="st"/>
    <w:rsid w:val="00995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character" w:customStyle="1" w:styleId="st">
    <w:name w:val="st"/>
    <w:rsid w:val="0099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4841-35C0-45BE-8006-A6F9FDB9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 </cp:lastModifiedBy>
  <cp:revision>2</cp:revision>
  <cp:lastPrinted>2016-08-01T06:35:00Z</cp:lastPrinted>
  <dcterms:created xsi:type="dcterms:W3CDTF">2016-09-26T02:11:00Z</dcterms:created>
  <dcterms:modified xsi:type="dcterms:W3CDTF">2016-09-26T02:11:00Z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A560454</vt:lpwstr>
  </property>
  <property fmtid="{D5CDD505-2E9C-101B-9397-08002B2CF9AE}" pid="3" name="Objective-Title">
    <vt:lpwstr>Stage 1 LAP-05 - Museum Alexandra Egypt Greece</vt:lpwstr>
  </property>
  <property fmtid="{D5CDD505-2E9C-101B-9397-08002B2CF9AE}" pid="4" name="Objective-Comment">
    <vt:lpwstr/>
  </property>
  <property fmtid="{D5CDD505-2E9C-101B-9397-08002B2CF9AE}" pid="5" name="Objective-CreationStamp">
    <vt:filetime>2016-08-23T06:50:25Z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2016-09-26T02:08:24Z</vt:filetime>
  </property>
  <property fmtid="{D5CDD505-2E9C-101B-9397-08002B2CF9AE}" pid="10" name="Objective-Owner">
    <vt:lpwstr>Michael Randall</vt:lpwstr>
  </property>
  <property fmtid="{D5CDD505-2E9C-101B-9397-08002B2CF9AE}" pid="11" name="Objective-Path">
    <vt:lpwstr>Objective Global Folder:Curriculum:Subject renewal:Australian Curriculum:IMPLEMENTATION WORKSHOP PLANNING:Ancient Studies:</vt:lpwstr>
  </property>
  <property fmtid="{D5CDD505-2E9C-101B-9397-08002B2CF9AE}" pid="12" name="Objective-Parent">
    <vt:lpwstr>Ancient Studies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7.1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>qA13706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