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8734C" w14:textId="77777777" w:rsidR="004D0DA7" w:rsidRPr="004D0DA7" w:rsidRDefault="004D0DA7" w:rsidP="00F010B5">
      <w:pPr>
        <w:jc w:val="center"/>
        <w:rPr>
          <w:b/>
        </w:rPr>
      </w:pPr>
      <w:r w:rsidRPr="004D0DA7">
        <w:rPr>
          <w:b/>
        </w:rPr>
        <w:t xml:space="preserve">Stage 1 Essential Mathematics – Numeracy </w:t>
      </w:r>
      <w:r w:rsidR="00F010B5">
        <w:rPr>
          <w:b/>
        </w:rPr>
        <w:t>P</w:t>
      </w:r>
      <w:r w:rsidRPr="004D0DA7">
        <w:rPr>
          <w:b/>
        </w:rPr>
        <w:t>rogram</w:t>
      </w:r>
      <w:r w:rsidR="00F010B5">
        <w:rPr>
          <w:b/>
        </w:rPr>
        <w:t xml:space="preserve"> 1</w:t>
      </w:r>
    </w:p>
    <w:p w14:paraId="2ADBE7D4" w14:textId="77777777" w:rsidR="004D0DA7" w:rsidRDefault="004D0DA7"/>
    <w:p w14:paraId="515972DA" w14:textId="77777777" w:rsidR="003F0050" w:rsidRDefault="005A7A9D">
      <w:r>
        <w:t xml:space="preserve">This program is </w:t>
      </w:r>
      <w:r w:rsidR="009B4877">
        <w:t>designed to be completed in one semester</w:t>
      </w:r>
      <w:r w:rsidR="00EC61E8">
        <w:t xml:space="preserve">. However, </w:t>
      </w:r>
      <w:r>
        <w:t>flexibilities in this program could enable students to proceed through the course at an accelerated pace, or be extended over a full year for those students who need extra time to achieve the numeracy requirement.</w:t>
      </w:r>
      <w:r w:rsidR="00407C8F">
        <w:t xml:space="preserve"> </w:t>
      </w:r>
    </w:p>
    <w:p w14:paraId="6F97FE51" w14:textId="77777777" w:rsidR="00F010B5" w:rsidRDefault="00F010B5"/>
    <w:p w14:paraId="3504638F" w14:textId="77777777" w:rsidR="00000000" w:rsidRDefault="00407C8F" w:rsidP="00F010B5">
      <w:r>
        <w:t xml:space="preserve">The focus is on </w:t>
      </w:r>
      <w:r w:rsidRPr="00F010B5">
        <w:rPr>
          <w:bCs/>
        </w:rPr>
        <w:t>collecting evidence</w:t>
      </w:r>
      <w:r w:rsidR="00B66B73">
        <w:t xml:space="preserve"> that demonstrates</w:t>
      </w:r>
      <w:r w:rsidR="00F010B5">
        <w:t xml:space="preserve"> learning </w:t>
      </w:r>
      <w:r w:rsidRPr="00F010B5">
        <w:rPr>
          <w:bCs/>
        </w:rPr>
        <w:t>when</w:t>
      </w:r>
      <w:r w:rsidR="00B66B73">
        <w:t xml:space="preserve"> students</w:t>
      </w:r>
      <w:r w:rsidRPr="00F010B5">
        <w:t xml:space="preserve"> are ready</w:t>
      </w:r>
      <w:r>
        <w:t>.</w:t>
      </w:r>
      <w:r w:rsidR="003F0050">
        <w:t xml:space="preserve"> </w:t>
      </w:r>
      <w:r w:rsidR="00A80F99">
        <w:t>E</w:t>
      </w:r>
      <w:r w:rsidR="00C07AC1" w:rsidRPr="00A80F99">
        <w:t xml:space="preserve">vidence </w:t>
      </w:r>
      <w:r w:rsidR="003F0050" w:rsidRPr="00A80F99">
        <w:t xml:space="preserve">will be </w:t>
      </w:r>
      <w:r w:rsidR="00C07AC1" w:rsidRPr="00A80F99">
        <w:t>collected</w:t>
      </w:r>
      <w:r w:rsidR="003F0050" w:rsidRPr="00A80F99">
        <w:t xml:space="preserve"> to form one </w:t>
      </w:r>
      <w:r w:rsidR="00C07AC1" w:rsidRPr="00A80F99">
        <w:t>Ski</w:t>
      </w:r>
      <w:r w:rsidR="00BC6216" w:rsidRPr="00A80F99">
        <w:t>lls and Applications a</w:t>
      </w:r>
      <w:r w:rsidR="00C07AC1" w:rsidRPr="00A80F99">
        <w:t xml:space="preserve">ssessment in </w:t>
      </w:r>
      <w:r w:rsidR="00F010B5" w:rsidRPr="00A80F99">
        <w:t>Topic 1</w:t>
      </w:r>
      <w:r w:rsidR="00C07AC1" w:rsidRPr="00A80F99">
        <w:t>.</w:t>
      </w:r>
      <w:r w:rsidR="00C07AC1">
        <w:t xml:space="preserve"> </w:t>
      </w:r>
    </w:p>
    <w:p w14:paraId="046C41CA" w14:textId="77777777" w:rsidR="005A7A9D" w:rsidRDefault="005A7A9D"/>
    <w:p w14:paraId="482497E2" w14:textId="77777777" w:rsidR="005A7A9D" w:rsidRPr="006F0785" w:rsidRDefault="005A7A9D">
      <w:pPr>
        <w:rPr>
          <w:b/>
        </w:rPr>
      </w:pPr>
      <w:r w:rsidRPr="006F0785">
        <w:rPr>
          <w:b/>
        </w:rPr>
        <w:t>Topic 1</w:t>
      </w:r>
    </w:p>
    <w:p w14:paraId="3EE3871A" w14:textId="77777777" w:rsidR="005A7A9D" w:rsidRDefault="005A7A9D"/>
    <w:tbl>
      <w:tblPr>
        <w:tblStyle w:val="TableGrid"/>
        <w:tblW w:w="9214" w:type="dxa"/>
        <w:tblInd w:w="108" w:type="dxa"/>
        <w:tblLook w:val="04A0" w:firstRow="1" w:lastRow="0" w:firstColumn="1" w:lastColumn="0" w:noHBand="0" w:noVBand="1"/>
      </w:tblPr>
      <w:tblGrid>
        <w:gridCol w:w="1771"/>
        <w:gridCol w:w="3576"/>
        <w:gridCol w:w="3867"/>
      </w:tblGrid>
      <w:tr w:rsidR="005A7A9D" w:rsidRPr="005A7A9D" w14:paraId="5F995026" w14:textId="77777777" w:rsidTr="00EC61E8">
        <w:tc>
          <w:tcPr>
            <w:tcW w:w="1771" w:type="dxa"/>
          </w:tcPr>
          <w:p w14:paraId="39C2CDA8" w14:textId="77777777" w:rsidR="005A7A9D" w:rsidRPr="005A7A9D" w:rsidRDefault="005A7A9D">
            <w:pPr>
              <w:rPr>
                <w:b/>
              </w:rPr>
            </w:pPr>
            <w:r w:rsidRPr="005A7A9D">
              <w:rPr>
                <w:b/>
              </w:rPr>
              <w:t>Subtopic</w:t>
            </w:r>
          </w:p>
        </w:tc>
        <w:tc>
          <w:tcPr>
            <w:tcW w:w="3576" w:type="dxa"/>
          </w:tcPr>
          <w:p w14:paraId="01587E60" w14:textId="77777777" w:rsidR="005A7A9D" w:rsidRPr="005A7A9D" w:rsidRDefault="005A7A9D">
            <w:pPr>
              <w:rPr>
                <w:b/>
              </w:rPr>
            </w:pPr>
            <w:r w:rsidRPr="005A7A9D">
              <w:rPr>
                <w:b/>
              </w:rPr>
              <w:t>Content</w:t>
            </w:r>
          </w:p>
        </w:tc>
        <w:tc>
          <w:tcPr>
            <w:tcW w:w="3867" w:type="dxa"/>
          </w:tcPr>
          <w:p w14:paraId="3AF4E245" w14:textId="77777777" w:rsidR="005A7A9D" w:rsidRPr="005A7A9D" w:rsidRDefault="00F010B5">
            <w:pPr>
              <w:rPr>
                <w:b/>
              </w:rPr>
            </w:pPr>
            <w:r>
              <w:rPr>
                <w:b/>
              </w:rPr>
              <w:t>Assessment</w:t>
            </w:r>
          </w:p>
        </w:tc>
      </w:tr>
      <w:tr w:rsidR="00407C8F" w14:paraId="506B2226" w14:textId="77777777" w:rsidTr="00EC61E8">
        <w:trPr>
          <w:trHeight w:val="2268"/>
        </w:trPr>
        <w:tc>
          <w:tcPr>
            <w:tcW w:w="1771" w:type="dxa"/>
            <w:vMerge w:val="restart"/>
          </w:tcPr>
          <w:p w14:paraId="17A4BA5E" w14:textId="77777777" w:rsidR="00FD7C33" w:rsidRDefault="00407C8F" w:rsidP="00BC6216">
            <w:pPr>
              <w:spacing w:before="240"/>
              <w:rPr>
                <w:b/>
              </w:rPr>
            </w:pPr>
            <w:r w:rsidRPr="00BC6216">
              <w:rPr>
                <w:b/>
              </w:rPr>
              <w:t>1.1: Calculations</w:t>
            </w:r>
          </w:p>
          <w:p w14:paraId="258E6597" w14:textId="77777777" w:rsidR="00FD7C33" w:rsidRPr="00FD7C33" w:rsidRDefault="00FD7C33" w:rsidP="00FD7C33"/>
          <w:p w14:paraId="62DC2998" w14:textId="77777777" w:rsidR="00FD7C33" w:rsidRPr="00FD7C33" w:rsidRDefault="00FD7C33" w:rsidP="00FD7C33"/>
          <w:p w14:paraId="3334A0F5" w14:textId="77777777" w:rsidR="00FD7C33" w:rsidRPr="00FD7C33" w:rsidRDefault="00FD7C33" w:rsidP="00FD7C33"/>
          <w:p w14:paraId="050FB0B2" w14:textId="77777777" w:rsidR="00FD7C33" w:rsidRPr="00FD7C33" w:rsidRDefault="00FD7C33" w:rsidP="00FD7C33"/>
          <w:p w14:paraId="45FA6066" w14:textId="77777777" w:rsidR="00FD7C33" w:rsidRPr="00FD7C33" w:rsidRDefault="00FD7C33" w:rsidP="00FD7C33"/>
          <w:p w14:paraId="31510AB0" w14:textId="77777777" w:rsidR="00FD7C33" w:rsidRPr="00FD7C33" w:rsidRDefault="00FD7C33" w:rsidP="00FD7C33"/>
          <w:p w14:paraId="0D13CF6B" w14:textId="77777777" w:rsidR="00FD7C33" w:rsidRPr="00FD7C33" w:rsidRDefault="00FD7C33" w:rsidP="00FD7C33"/>
          <w:p w14:paraId="4C08E84E" w14:textId="77777777" w:rsidR="00FD7C33" w:rsidRPr="00FD7C33" w:rsidRDefault="00FD7C33" w:rsidP="00FD7C33"/>
          <w:p w14:paraId="0CC4C72A" w14:textId="77777777" w:rsidR="00FD7C33" w:rsidRPr="00FD7C33" w:rsidRDefault="00FD7C33" w:rsidP="00FD7C33"/>
          <w:p w14:paraId="74194D07" w14:textId="77777777" w:rsidR="00FD7C33" w:rsidRPr="00FD7C33" w:rsidRDefault="00FD7C33" w:rsidP="00FD7C33"/>
          <w:p w14:paraId="09ACFD48" w14:textId="77777777" w:rsidR="00FD7C33" w:rsidRPr="00FD7C33" w:rsidRDefault="00FD7C33" w:rsidP="00FD7C33"/>
          <w:p w14:paraId="4C7D70D2" w14:textId="77777777" w:rsidR="00FD7C33" w:rsidRPr="00FD7C33" w:rsidRDefault="00FD7C33" w:rsidP="00FD7C33"/>
          <w:p w14:paraId="035E14F0" w14:textId="77777777" w:rsidR="00FD7C33" w:rsidRPr="00FD7C33" w:rsidRDefault="00FD7C33" w:rsidP="00FD7C33"/>
          <w:p w14:paraId="4B55FD33" w14:textId="77777777" w:rsidR="00FD7C33" w:rsidRPr="00FD7C33" w:rsidRDefault="00FD7C33" w:rsidP="00FD7C33"/>
          <w:p w14:paraId="3CDF6857" w14:textId="77777777" w:rsidR="00FD7C33" w:rsidRPr="00FD7C33" w:rsidRDefault="00FD7C33" w:rsidP="00FD7C33"/>
          <w:p w14:paraId="61B2B123" w14:textId="77777777" w:rsidR="00FD7C33" w:rsidRPr="00FD7C33" w:rsidRDefault="00FD7C33" w:rsidP="00FD7C33"/>
          <w:p w14:paraId="1F427C42" w14:textId="77777777" w:rsidR="00FD7C33" w:rsidRPr="00FD7C33" w:rsidRDefault="00FD7C33" w:rsidP="00FD7C33"/>
          <w:p w14:paraId="54A5C312" w14:textId="77777777" w:rsidR="00FD7C33" w:rsidRPr="00FD7C33" w:rsidRDefault="00FD7C33" w:rsidP="00FD7C33"/>
          <w:p w14:paraId="7639743C" w14:textId="77777777" w:rsidR="00FD7C33" w:rsidRPr="00FD7C33" w:rsidRDefault="00FD7C33" w:rsidP="00FD7C33"/>
          <w:p w14:paraId="152D14D1" w14:textId="77777777" w:rsidR="00FD7C33" w:rsidRPr="00FD7C33" w:rsidRDefault="00FD7C33" w:rsidP="00FD7C33"/>
          <w:p w14:paraId="7D844281" w14:textId="77777777" w:rsidR="00FD7C33" w:rsidRPr="00FD7C33" w:rsidRDefault="00FD7C33" w:rsidP="00FD7C33"/>
          <w:p w14:paraId="55F851FD" w14:textId="77777777" w:rsidR="00FD7C33" w:rsidRPr="00FD7C33" w:rsidRDefault="00FD7C33" w:rsidP="00FD7C33"/>
          <w:p w14:paraId="326E2BF4" w14:textId="77777777" w:rsidR="00FD7C33" w:rsidRPr="00FD7C33" w:rsidRDefault="00FD7C33" w:rsidP="00FD7C33"/>
          <w:p w14:paraId="47990FB3" w14:textId="77777777" w:rsidR="00FD7C33" w:rsidRPr="00FD7C33" w:rsidRDefault="00FD7C33" w:rsidP="00FD7C33"/>
          <w:p w14:paraId="55FC1A9F" w14:textId="77777777" w:rsidR="00FD7C33" w:rsidRPr="00FD7C33" w:rsidRDefault="00FD7C33" w:rsidP="00FD7C33"/>
          <w:p w14:paraId="43962260" w14:textId="77777777" w:rsidR="00FD7C33" w:rsidRPr="00FD7C33" w:rsidRDefault="00FD7C33" w:rsidP="00FD7C33"/>
          <w:p w14:paraId="71B183D4" w14:textId="77777777" w:rsidR="00FD7C33" w:rsidRPr="00FD7C33" w:rsidRDefault="00FD7C33" w:rsidP="00FD7C33"/>
          <w:p w14:paraId="421B5CBE" w14:textId="77777777" w:rsidR="00FD7C33" w:rsidRPr="00FD7C33" w:rsidRDefault="00FD7C33" w:rsidP="00FD7C33"/>
          <w:p w14:paraId="2EC1C143" w14:textId="77777777" w:rsidR="00FD7C33" w:rsidRPr="00FD7C33" w:rsidRDefault="00FD7C33" w:rsidP="00FD7C33"/>
          <w:p w14:paraId="5A1FF1D1" w14:textId="77777777" w:rsidR="00FD7C33" w:rsidRPr="00FD7C33" w:rsidRDefault="00FD7C33" w:rsidP="00FD7C33"/>
          <w:p w14:paraId="168CCDE6" w14:textId="77777777" w:rsidR="00FD7C33" w:rsidRPr="00FD7C33" w:rsidRDefault="00FD7C33" w:rsidP="00FD7C33"/>
          <w:p w14:paraId="32C3A468" w14:textId="77777777" w:rsidR="00FD7C33" w:rsidRPr="00FD7C33" w:rsidRDefault="00FD7C33" w:rsidP="00FD7C33"/>
          <w:p w14:paraId="1686F7EF" w14:textId="77777777" w:rsidR="00FD7C33" w:rsidRPr="00FD7C33" w:rsidRDefault="00FD7C33" w:rsidP="00FD7C33"/>
          <w:p w14:paraId="52E2509C" w14:textId="77777777" w:rsidR="00FD7C33" w:rsidRDefault="00FD7C33" w:rsidP="00FD7C33"/>
          <w:p w14:paraId="4F3B40C5" w14:textId="77777777" w:rsidR="00407C8F" w:rsidRPr="00FD7C33" w:rsidRDefault="00FD7C33" w:rsidP="00FD7C33">
            <w:pPr>
              <w:tabs>
                <w:tab w:val="left" w:pos="1413"/>
              </w:tabs>
            </w:pPr>
            <w:r>
              <w:tab/>
            </w:r>
          </w:p>
        </w:tc>
        <w:tc>
          <w:tcPr>
            <w:tcW w:w="3576" w:type="dxa"/>
          </w:tcPr>
          <w:p w14:paraId="2F30A613" w14:textId="77777777" w:rsidR="00407C8F" w:rsidRDefault="00407C8F"/>
          <w:p w14:paraId="785FFEF1" w14:textId="77777777" w:rsidR="00407C8F" w:rsidRPr="00407C8F" w:rsidRDefault="00407C8F" w:rsidP="005A7A9D">
            <w:pPr>
              <w:pStyle w:val="SOFinalContentTableText"/>
              <w:rPr>
                <w:b/>
              </w:rPr>
            </w:pPr>
            <w:r w:rsidRPr="00407C8F">
              <w:rPr>
                <w:b/>
              </w:rPr>
              <w:t>How can basic mathematics skills help us in our everyday lives?</w:t>
            </w:r>
          </w:p>
          <w:p w14:paraId="15C44DCD" w14:textId="77777777" w:rsidR="00407C8F" w:rsidRPr="00CC1641" w:rsidRDefault="00407C8F" w:rsidP="005A7A9D">
            <w:pPr>
              <w:pStyle w:val="SOFinalContentTableBullets"/>
            </w:pPr>
            <w:r w:rsidRPr="00CC1641">
              <w:t xml:space="preserve">solve practical problems requiring basic number operations </w:t>
            </w:r>
          </w:p>
          <w:p w14:paraId="26E97AD4" w14:textId="77777777" w:rsidR="00407C8F" w:rsidRPr="00407C8F" w:rsidRDefault="00407C8F" w:rsidP="005A7A9D">
            <w:pPr>
              <w:pStyle w:val="SOFinalContentTableBullets"/>
            </w:pPr>
            <w:r w:rsidRPr="00CC1641">
              <w:t xml:space="preserve">apply arithmetic operations according to their correct order </w:t>
            </w:r>
          </w:p>
          <w:p w14:paraId="6619EA2F" w14:textId="77777777" w:rsidR="00407C8F" w:rsidRDefault="00407C8F" w:rsidP="005A7A9D">
            <w:pPr>
              <w:rPr>
                <w:color w:val="000000"/>
                <w:lang w:val="en-US" w:eastAsia="en-US"/>
              </w:rPr>
            </w:pPr>
          </w:p>
          <w:p w14:paraId="0B39FEBE" w14:textId="77777777" w:rsidR="00407C8F" w:rsidRDefault="00407C8F" w:rsidP="005A7A9D">
            <w:pPr>
              <w:rPr>
                <w:color w:val="000000"/>
                <w:lang w:val="en-US" w:eastAsia="en-US"/>
              </w:rPr>
            </w:pPr>
          </w:p>
          <w:p w14:paraId="4AEE878E" w14:textId="77777777" w:rsidR="00407C8F" w:rsidRDefault="00407C8F"/>
        </w:tc>
        <w:tc>
          <w:tcPr>
            <w:tcW w:w="3867" w:type="dxa"/>
          </w:tcPr>
          <w:p w14:paraId="3BD325D5" w14:textId="77777777" w:rsidR="00407C8F" w:rsidRPr="00941547" w:rsidRDefault="00941547">
            <w:pPr>
              <w:rPr>
                <w:b/>
                <w:u w:val="single"/>
              </w:rPr>
            </w:pPr>
            <w:r w:rsidRPr="00941547">
              <w:rPr>
                <w:b/>
                <w:u w:val="single"/>
              </w:rPr>
              <w:t>Skills and Applications Task 1</w:t>
            </w:r>
          </w:p>
          <w:p w14:paraId="2E5F2EA7" w14:textId="77777777" w:rsidR="00407C8F" w:rsidRDefault="00BC6216" w:rsidP="00F010B5">
            <w:pPr>
              <w:spacing w:before="120"/>
            </w:pPr>
            <w:r>
              <w:t xml:space="preserve">Section 1 </w:t>
            </w:r>
            <w:r w:rsidR="00F010B5">
              <w:t xml:space="preserve">– </w:t>
            </w:r>
            <w:r w:rsidR="00FA7DD6">
              <w:t>P</w:t>
            </w:r>
            <w:r>
              <w:t>rovides</w:t>
            </w:r>
            <w:r w:rsidR="00407C8F">
              <w:t xml:space="preserve"> evidence of ability to perform basic operations without the use of a calculator.</w:t>
            </w:r>
          </w:p>
          <w:p w14:paraId="148D8115" w14:textId="77777777" w:rsidR="00407C8F" w:rsidRPr="00F010B5" w:rsidRDefault="00407C8F" w:rsidP="00407C8F">
            <w:pPr>
              <w:pStyle w:val="ListParagraph"/>
              <w:numPr>
                <w:ilvl w:val="0"/>
                <w:numId w:val="6"/>
              </w:numPr>
              <w:rPr>
                <w:rFonts w:ascii="Arial" w:hAnsi="Arial" w:cs="Arial"/>
              </w:rPr>
            </w:pPr>
            <w:r w:rsidRPr="00F010B5">
              <w:rPr>
                <w:rFonts w:ascii="Arial" w:hAnsi="Arial" w:cs="Arial"/>
              </w:rPr>
              <w:t>Multi digit addition and subtraction</w:t>
            </w:r>
          </w:p>
          <w:p w14:paraId="139DAFE3" w14:textId="77777777" w:rsidR="00407C8F" w:rsidRPr="00F010B5" w:rsidRDefault="00407C8F" w:rsidP="00F010B5">
            <w:pPr>
              <w:pStyle w:val="ListParagraph"/>
              <w:numPr>
                <w:ilvl w:val="0"/>
                <w:numId w:val="6"/>
              </w:numPr>
              <w:rPr>
                <w:rFonts w:ascii="Arial" w:hAnsi="Arial" w:cs="Arial"/>
              </w:rPr>
            </w:pPr>
            <w:r w:rsidRPr="00F010B5">
              <w:rPr>
                <w:rFonts w:ascii="Arial" w:hAnsi="Arial" w:cs="Arial"/>
              </w:rPr>
              <w:t xml:space="preserve">Single </w:t>
            </w:r>
            <w:r w:rsidR="00F010B5">
              <w:rPr>
                <w:rFonts w:ascii="Arial" w:hAnsi="Arial" w:cs="Arial"/>
              </w:rPr>
              <w:t>and</w:t>
            </w:r>
            <w:r w:rsidRPr="00F010B5">
              <w:rPr>
                <w:rFonts w:ascii="Arial" w:hAnsi="Arial" w:cs="Arial"/>
              </w:rPr>
              <w:t xml:space="preserve"> double digit multiplication</w:t>
            </w:r>
          </w:p>
          <w:p w14:paraId="23716637" w14:textId="77777777" w:rsidR="00407C8F" w:rsidRPr="00407C8F" w:rsidRDefault="00407C8F" w:rsidP="00407C8F">
            <w:pPr>
              <w:pStyle w:val="ListParagraph"/>
              <w:numPr>
                <w:ilvl w:val="0"/>
                <w:numId w:val="6"/>
              </w:numPr>
            </w:pPr>
            <w:r w:rsidRPr="00F010B5">
              <w:rPr>
                <w:rFonts w:ascii="Arial" w:hAnsi="Arial" w:cs="Arial"/>
              </w:rPr>
              <w:t>Single digit division</w:t>
            </w:r>
          </w:p>
        </w:tc>
      </w:tr>
      <w:tr w:rsidR="00407C8F" w14:paraId="6BA3D0AE" w14:textId="77777777" w:rsidTr="00EC61E8">
        <w:trPr>
          <w:trHeight w:val="2270"/>
        </w:trPr>
        <w:tc>
          <w:tcPr>
            <w:tcW w:w="1771" w:type="dxa"/>
            <w:vMerge/>
            <w:tcBorders>
              <w:bottom w:val="single" w:sz="4" w:space="0" w:color="auto"/>
            </w:tcBorders>
          </w:tcPr>
          <w:p w14:paraId="3909E14C" w14:textId="77777777" w:rsidR="00407C8F" w:rsidRDefault="00407C8F"/>
        </w:tc>
        <w:tc>
          <w:tcPr>
            <w:tcW w:w="3576" w:type="dxa"/>
            <w:tcBorders>
              <w:bottom w:val="single" w:sz="4" w:space="0" w:color="auto"/>
            </w:tcBorders>
          </w:tcPr>
          <w:p w14:paraId="4B15041D" w14:textId="77777777" w:rsidR="00407C8F" w:rsidRDefault="00407C8F" w:rsidP="005A7A9D">
            <w:pPr>
              <w:rPr>
                <w:b/>
                <w:color w:val="000000"/>
                <w:lang w:val="en-US" w:eastAsia="en-US"/>
              </w:rPr>
            </w:pPr>
          </w:p>
          <w:p w14:paraId="004BAEC5" w14:textId="77777777" w:rsidR="00407C8F" w:rsidRPr="005A7A9D" w:rsidRDefault="00407C8F" w:rsidP="005A7A9D">
            <w:pPr>
              <w:rPr>
                <w:b/>
                <w:color w:val="000000"/>
                <w:lang w:val="en-US" w:eastAsia="en-US"/>
              </w:rPr>
            </w:pPr>
            <w:r w:rsidRPr="005A7A9D">
              <w:rPr>
                <w:b/>
                <w:color w:val="000000"/>
                <w:lang w:val="en-US" w:eastAsia="en-US"/>
              </w:rPr>
              <w:t>How can we determine the reasonableness of our calculations?</w:t>
            </w:r>
          </w:p>
          <w:p w14:paraId="727C740F" w14:textId="77777777" w:rsidR="00407C8F" w:rsidRPr="005A7A9D" w:rsidRDefault="00407C8F" w:rsidP="00407C8F">
            <w:pPr>
              <w:pStyle w:val="SOFinalContentTableBullets"/>
            </w:pPr>
            <w:r w:rsidRPr="005A7A9D">
              <w:t xml:space="preserve">use leading-digit approximation to obtain estimates of calculations </w:t>
            </w:r>
          </w:p>
          <w:p w14:paraId="2B7D6202" w14:textId="77777777" w:rsidR="00407C8F" w:rsidRPr="005A7A9D" w:rsidRDefault="00407C8F" w:rsidP="00407C8F">
            <w:pPr>
              <w:pStyle w:val="SOFinalContentTableBullets"/>
            </w:pPr>
            <w:r w:rsidRPr="005A7A9D">
              <w:t xml:space="preserve">apply approximation strategies </w:t>
            </w:r>
          </w:p>
          <w:p w14:paraId="0425A0A6" w14:textId="77777777" w:rsidR="00407C8F" w:rsidRPr="005A7A9D" w:rsidRDefault="00407C8F" w:rsidP="00407C8F">
            <w:pPr>
              <w:pStyle w:val="SOFinalContentTableBullets"/>
            </w:pPr>
            <w:r w:rsidRPr="005A7A9D">
              <w:t xml:space="preserve">ascertain the reasonableness of answers to arithmetic calculations </w:t>
            </w:r>
          </w:p>
          <w:p w14:paraId="3290C371" w14:textId="77777777" w:rsidR="00407C8F" w:rsidRDefault="00407C8F" w:rsidP="00407C8F">
            <w:pPr>
              <w:pStyle w:val="SOFinalContentTableBullets"/>
            </w:pPr>
            <w:r w:rsidRPr="00407C8F">
              <w:t>check results of calculations for accuracy</w:t>
            </w:r>
          </w:p>
          <w:p w14:paraId="76A6964C" w14:textId="77777777" w:rsidR="00407C8F" w:rsidRDefault="00407C8F" w:rsidP="00407C8F">
            <w:pPr>
              <w:pStyle w:val="SOFinalContentTableBullets"/>
            </w:pPr>
            <w:r w:rsidRPr="00407C8F">
              <w:t>multiplication and division by multiples of 10</w:t>
            </w:r>
          </w:p>
          <w:p w14:paraId="6FE0D00D" w14:textId="77777777" w:rsidR="00407C8F" w:rsidRDefault="00407C8F" w:rsidP="00407C8F"/>
        </w:tc>
        <w:tc>
          <w:tcPr>
            <w:tcW w:w="3867" w:type="dxa"/>
            <w:tcBorders>
              <w:bottom w:val="single" w:sz="4" w:space="0" w:color="auto"/>
            </w:tcBorders>
          </w:tcPr>
          <w:p w14:paraId="1E9A7909" w14:textId="77777777" w:rsidR="00941547" w:rsidRPr="00941547" w:rsidRDefault="00941547" w:rsidP="00941547">
            <w:pPr>
              <w:rPr>
                <w:b/>
                <w:u w:val="single"/>
              </w:rPr>
            </w:pPr>
            <w:r w:rsidRPr="00941547">
              <w:rPr>
                <w:b/>
                <w:u w:val="single"/>
              </w:rPr>
              <w:t>Skills and Applications Task 1</w:t>
            </w:r>
          </w:p>
          <w:p w14:paraId="272220EB" w14:textId="77777777" w:rsidR="00F26233" w:rsidRDefault="00BC6216" w:rsidP="00941547">
            <w:pPr>
              <w:spacing w:before="120"/>
            </w:pPr>
            <w:r>
              <w:t>Section 2 –</w:t>
            </w:r>
            <w:r w:rsidR="00FA7DD6">
              <w:t xml:space="preserve"> P</w:t>
            </w:r>
            <w:r w:rsidR="00941547">
              <w:t>rovides</w:t>
            </w:r>
            <w:r w:rsidR="00407C8F">
              <w:t xml:space="preserve"> evidence of ability to perform basic rounding to </w:t>
            </w:r>
            <w:r w:rsidR="00FC5104">
              <w:t xml:space="preserve">a leading digit to </w:t>
            </w:r>
            <w:r w:rsidR="00407C8F">
              <w:t>estimate</w:t>
            </w:r>
            <w:r w:rsidR="00FC5104">
              <w:t xml:space="preserve"> arithmetic calculations without use of technology</w:t>
            </w:r>
            <w:r w:rsidR="00407C8F">
              <w:t xml:space="preserve">. </w:t>
            </w:r>
          </w:p>
          <w:p w14:paraId="63559842" w14:textId="77777777" w:rsidR="00F26233" w:rsidRDefault="00F26233" w:rsidP="00407C8F"/>
          <w:p w14:paraId="65BF015A" w14:textId="77777777" w:rsidR="00407C8F" w:rsidRDefault="00F26233" w:rsidP="00F010B5">
            <w:r>
              <w:t xml:space="preserve">Calculators are </w:t>
            </w:r>
            <w:r w:rsidR="00FC5104">
              <w:t xml:space="preserve">then </w:t>
            </w:r>
            <w:r>
              <w:t xml:space="preserve">used within this </w:t>
            </w:r>
            <w:r w:rsidR="00F010B5">
              <w:t>section</w:t>
            </w:r>
            <w:r>
              <w:t xml:space="preserve"> to </w:t>
            </w:r>
            <w:r w:rsidR="00FC5104">
              <w:t>check the accuracy.</w:t>
            </w:r>
          </w:p>
        </w:tc>
      </w:tr>
      <w:tr w:rsidR="00C07AC1" w14:paraId="0B63D294" w14:textId="77777777" w:rsidTr="00EC61E8">
        <w:trPr>
          <w:trHeight w:val="2731"/>
        </w:trPr>
        <w:tc>
          <w:tcPr>
            <w:tcW w:w="1771" w:type="dxa"/>
            <w:vMerge/>
          </w:tcPr>
          <w:p w14:paraId="06898E23" w14:textId="77777777" w:rsidR="00C07AC1" w:rsidRDefault="00C07AC1"/>
        </w:tc>
        <w:tc>
          <w:tcPr>
            <w:tcW w:w="3576" w:type="dxa"/>
          </w:tcPr>
          <w:p w14:paraId="661E8FFB" w14:textId="77777777" w:rsidR="00C07AC1" w:rsidRPr="00407C8F" w:rsidRDefault="00C07AC1" w:rsidP="00407C8F">
            <w:pPr>
              <w:rPr>
                <w:color w:val="000000"/>
                <w:lang w:val="en-US" w:eastAsia="en-US"/>
              </w:rPr>
            </w:pPr>
          </w:p>
          <w:p w14:paraId="3D868406" w14:textId="77777777" w:rsidR="00C07AC1" w:rsidRPr="00407C8F" w:rsidRDefault="00C07AC1" w:rsidP="00407C8F">
            <w:pPr>
              <w:rPr>
                <w:b/>
                <w:color w:val="000000"/>
                <w:lang w:val="en-US" w:eastAsia="en-US"/>
              </w:rPr>
            </w:pPr>
            <w:r>
              <w:rPr>
                <w:b/>
                <w:color w:val="000000"/>
                <w:lang w:val="en-US" w:eastAsia="en-US"/>
              </w:rPr>
              <w:t>Understanding and using decimal numbers.</w:t>
            </w:r>
          </w:p>
          <w:p w14:paraId="6C83ACF9" w14:textId="77777777" w:rsidR="00C07AC1" w:rsidRPr="00407C8F" w:rsidRDefault="00C07AC1" w:rsidP="00407C8F">
            <w:pPr>
              <w:pStyle w:val="SOFinalContentTableBullets"/>
            </w:pPr>
            <w:r w:rsidRPr="00407C8F">
              <w:t xml:space="preserve">recognise the significance of place value after the decimal point </w:t>
            </w:r>
          </w:p>
          <w:p w14:paraId="128FC1A6" w14:textId="77777777" w:rsidR="00C07AC1" w:rsidRPr="00407C8F" w:rsidRDefault="00C07AC1" w:rsidP="00407C8F">
            <w:pPr>
              <w:pStyle w:val="SOFinalContentTableBullets"/>
            </w:pPr>
            <w:r w:rsidRPr="00407C8F">
              <w:t xml:space="preserve">round up or round down numbers to the required number of decimal places </w:t>
            </w:r>
          </w:p>
          <w:p w14:paraId="3004B414" w14:textId="77777777" w:rsidR="00C07AC1" w:rsidRPr="00897E06" w:rsidRDefault="00C07AC1" w:rsidP="00897E06">
            <w:pPr>
              <w:pStyle w:val="SOFinalContentTableBullets"/>
            </w:pPr>
            <w:r w:rsidRPr="00CC1641">
              <w:t xml:space="preserve">solve practical problems requiring basic number operations </w:t>
            </w:r>
            <w:r>
              <w:t>involving decimals</w:t>
            </w:r>
          </w:p>
        </w:tc>
        <w:tc>
          <w:tcPr>
            <w:tcW w:w="3867" w:type="dxa"/>
          </w:tcPr>
          <w:p w14:paraId="3F7D34A3" w14:textId="77777777" w:rsidR="00941547" w:rsidRPr="00941547" w:rsidRDefault="00941547" w:rsidP="00941547">
            <w:pPr>
              <w:rPr>
                <w:b/>
                <w:u w:val="single"/>
              </w:rPr>
            </w:pPr>
            <w:r w:rsidRPr="00941547">
              <w:rPr>
                <w:b/>
                <w:u w:val="single"/>
              </w:rPr>
              <w:t>Skills and Applications Task 1</w:t>
            </w:r>
          </w:p>
          <w:p w14:paraId="41593518" w14:textId="77777777" w:rsidR="00C07AC1" w:rsidRDefault="00941547" w:rsidP="00F010B5">
            <w:pPr>
              <w:spacing w:before="120"/>
            </w:pPr>
            <w:r>
              <w:t xml:space="preserve">Section 3 </w:t>
            </w:r>
            <w:r w:rsidR="00F010B5">
              <w:t xml:space="preserve">– </w:t>
            </w:r>
            <w:r w:rsidR="00FA7DD6">
              <w:t>P</w:t>
            </w:r>
            <w:r>
              <w:t>rovides</w:t>
            </w:r>
            <w:r w:rsidR="00C07AC1">
              <w:t xml:space="preserve"> evidence of </w:t>
            </w:r>
            <w:r>
              <w:t xml:space="preserve">the </w:t>
            </w:r>
            <w:r w:rsidR="00C07AC1">
              <w:t xml:space="preserve">ability to round simple decimal numbers appropriately and to operate on simple decimal numbers in everyday contexts. </w:t>
            </w:r>
          </w:p>
          <w:p w14:paraId="1656B86E" w14:textId="77777777" w:rsidR="00C07AC1" w:rsidRPr="00DD0C43" w:rsidRDefault="00A80F99" w:rsidP="00CB0A75">
            <w:pPr>
              <w:pStyle w:val="ListParagraph"/>
              <w:numPr>
                <w:ilvl w:val="0"/>
                <w:numId w:val="6"/>
              </w:numPr>
              <w:rPr>
                <w:rFonts w:asciiTheme="minorBidi" w:hAnsiTheme="minorBidi" w:cstheme="minorBidi"/>
              </w:rPr>
            </w:pPr>
            <w:r>
              <w:rPr>
                <w:rFonts w:asciiTheme="minorBidi" w:hAnsiTheme="minorBidi" w:cstheme="minorBidi"/>
              </w:rPr>
              <w:t>Introduction of</w:t>
            </w:r>
            <w:r w:rsidR="00FA7DD6" w:rsidRPr="00DD0C43">
              <w:rPr>
                <w:rFonts w:asciiTheme="minorBidi" w:hAnsiTheme="minorBidi" w:cstheme="minorBidi"/>
              </w:rPr>
              <w:t xml:space="preserve"> worded problems</w:t>
            </w:r>
          </w:p>
          <w:p w14:paraId="17EE1E38" w14:textId="77777777" w:rsidR="00C07AC1" w:rsidRPr="00DD0C43" w:rsidRDefault="00C07AC1" w:rsidP="003F0050">
            <w:pPr>
              <w:pStyle w:val="ListParagraph"/>
              <w:numPr>
                <w:ilvl w:val="0"/>
                <w:numId w:val="6"/>
              </w:numPr>
              <w:rPr>
                <w:rFonts w:asciiTheme="minorBidi" w:hAnsiTheme="minorBidi" w:cstheme="minorBidi"/>
              </w:rPr>
            </w:pPr>
            <w:r w:rsidRPr="00DD0C43">
              <w:rPr>
                <w:rFonts w:asciiTheme="minorBidi" w:hAnsiTheme="minorBidi" w:cstheme="minorBidi"/>
              </w:rPr>
              <w:t>Without access to calculator</w:t>
            </w:r>
          </w:p>
          <w:p w14:paraId="2509FE0C" w14:textId="77777777" w:rsidR="00C07AC1" w:rsidRPr="00A80F99" w:rsidRDefault="00C07AC1" w:rsidP="00A80F99"/>
        </w:tc>
      </w:tr>
      <w:tr w:rsidR="00407C8F" w14:paraId="232DE74C" w14:textId="77777777" w:rsidTr="00EC61E8">
        <w:trPr>
          <w:trHeight w:val="286"/>
        </w:trPr>
        <w:tc>
          <w:tcPr>
            <w:tcW w:w="1771" w:type="dxa"/>
            <w:vMerge/>
          </w:tcPr>
          <w:p w14:paraId="0F921E6F" w14:textId="77777777" w:rsidR="00407C8F" w:rsidRDefault="00407C8F"/>
        </w:tc>
        <w:tc>
          <w:tcPr>
            <w:tcW w:w="3576" w:type="dxa"/>
          </w:tcPr>
          <w:p w14:paraId="73A6314F" w14:textId="77777777" w:rsidR="003F0050" w:rsidRDefault="003F0050" w:rsidP="00407C8F">
            <w:pPr>
              <w:rPr>
                <w:b/>
                <w:color w:val="000000"/>
                <w:lang w:val="en-US" w:eastAsia="en-US"/>
              </w:rPr>
            </w:pPr>
          </w:p>
          <w:p w14:paraId="49BE8B40" w14:textId="77777777" w:rsidR="00407C8F" w:rsidRPr="00407C8F" w:rsidRDefault="00407C8F" w:rsidP="00407C8F">
            <w:pPr>
              <w:rPr>
                <w:b/>
                <w:color w:val="000000"/>
                <w:lang w:val="en-US" w:eastAsia="en-US"/>
              </w:rPr>
            </w:pPr>
            <w:r w:rsidRPr="00407C8F">
              <w:rPr>
                <w:b/>
                <w:color w:val="000000"/>
                <w:lang w:val="en-US" w:eastAsia="en-US"/>
              </w:rPr>
              <w:t xml:space="preserve">How can a calculator be used to carry out multi-step calculations?  </w:t>
            </w:r>
          </w:p>
          <w:p w14:paraId="2DF0F14A" w14:textId="77777777" w:rsidR="00407C8F" w:rsidRDefault="00407C8F"/>
          <w:p w14:paraId="0F6571F6" w14:textId="77777777" w:rsidR="00407C8F" w:rsidRPr="00407C8F" w:rsidRDefault="00407C8F" w:rsidP="00407C8F">
            <w:pPr>
              <w:rPr>
                <w:b/>
                <w:color w:val="000000"/>
                <w:lang w:val="en-US" w:eastAsia="en-US"/>
              </w:rPr>
            </w:pPr>
          </w:p>
        </w:tc>
        <w:tc>
          <w:tcPr>
            <w:tcW w:w="3867" w:type="dxa"/>
          </w:tcPr>
          <w:p w14:paraId="41D1A82F" w14:textId="77777777" w:rsidR="00407C8F" w:rsidRDefault="00FA7DD6" w:rsidP="00FA7DD6">
            <w:pPr>
              <w:spacing w:before="120"/>
            </w:pPr>
            <w:r>
              <w:t>Appropriate and effective use of calculators is the focus in problems involving multiple steps. This could be extended to use of spreadsheets which will be utilised in the Folio task later in the program.</w:t>
            </w:r>
          </w:p>
        </w:tc>
      </w:tr>
      <w:tr w:rsidR="00E03E67" w14:paraId="04F43D35" w14:textId="77777777" w:rsidTr="00EC61E8">
        <w:trPr>
          <w:trHeight w:val="3534"/>
        </w:trPr>
        <w:tc>
          <w:tcPr>
            <w:tcW w:w="1771" w:type="dxa"/>
            <w:vMerge w:val="restart"/>
          </w:tcPr>
          <w:p w14:paraId="330F0861" w14:textId="77777777" w:rsidR="00E03E67" w:rsidRPr="004D0DA7" w:rsidRDefault="00E03E67" w:rsidP="00BC6216">
            <w:pPr>
              <w:spacing w:before="240"/>
              <w:rPr>
                <w:b/>
              </w:rPr>
            </w:pPr>
            <w:r w:rsidRPr="004D0DA7">
              <w:rPr>
                <w:b/>
              </w:rPr>
              <w:lastRenderedPageBreak/>
              <w:t>1.2: Time and rates</w:t>
            </w:r>
          </w:p>
        </w:tc>
        <w:tc>
          <w:tcPr>
            <w:tcW w:w="3576" w:type="dxa"/>
          </w:tcPr>
          <w:p w14:paraId="62C14CCD" w14:textId="77777777" w:rsidR="00894C99" w:rsidRDefault="00894C99" w:rsidP="005D4B14">
            <w:pPr>
              <w:rPr>
                <w:b/>
                <w:color w:val="000000"/>
                <w:lang w:val="en-US" w:eastAsia="en-US"/>
              </w:rPr>
            </w:pPr>
          </w:p>
          <w:p w14:paraId="2CAC2CF7" w14:textId="77777777" w:rsidR="00E03E67" w:rsidRPr="005D4B14" w:rsidRDefault="00E03E67" w:rsidP="005D4B14">
            <w:pPr>
              <w:rPr>
                <w:b/>
                <w:color w:val="000000"/>
                <w:lang w:val="en-US" w:eastAsia="en-US"/>
              </w:rPr>
            </w:pPr>
            <w:r w:rsidRPr="005D4B14">
              <w:rPr>
                <w:b/>
                <w:color w:val="000000"/>
                <w:lang w:val="en-US" w:eastAsia="en-US"/>
              </w:rPr>
              <w:t>Estimate and calculate time:</w:t>
            </w:r>
          </w:p>
          <w:p w14:paraId="6445C70F" w14:textId="77777777" w:rsidR="00E03E67" w:rsidRPr="005D4B14" w:rsidRDefault="00E03E67" w:rsidP="005D4B14">
            <w:pPr>
              <w:pStyle w:val="SOFinalContentTableBullets"/>
            </w:pPr>
            <w:r w:rsidRPr="005D4B14">
              <w:t xml:space="preserve">use units of time, conversions between units, fractional, digital, and decimal representations </w:t>
            </w:r>
          </w:p>
          <w:p w14:paraId="63F287A7" w14:textId="77777777" w:rsidR="00E03E67" w:rsidRPr="005D4B14" w:rsidRDefault="00E03E67" w:rsidP="005D4B14">
            <w:pPr>
              <w:pStyle w:val="SOFinalContentTableBullets"/>
            </w:pPr>
            <w:r w:rsidRPr="005D4B14">
              <w:t xml:space="preserve">represent time using 12-hour and 24-hour clocks </w:t>
            </w:r>
          </w:p>
          <w:p w14:paraId="6A4AFF83" w14:textId="77777777" w:rsidR="00E03E67" w:rsidRDefault="00E03E67" w:rsidP="005D4B14">
            <w:pPr>
              <w:pStyle w:val="SOFinalContentTableBullets"/>
            </w:pPr>
            <w:r w:rsidRPr="005D4B14">
              <w:t xml:space="preserve">calculate time intervals, such as time between, time ahead, time behind </w:t>
            </w:r>
          </w:p>
          <w:p w14:paraId="5A39295E" w14:textId="77777777" w:rsidR="00E03E67" w:rsidRDefault="00E03E67" w:rsidP="009221AB">
            <w:pPr>
              <w:rPr>
                <w:color w:val="000000"/>
                <w:lang w:val="en-US" w:eastAsia="en-US"/>
              </w:rPr>
            </w:pPr>
          </w:p>
          <w:p w14:paraId="5DF4E0C0" w14:textId="77777777" w:rsidR="00E03E67" w:rsidRDefault="00E03E67" w:rsidP="009221AB"/>
        </w:tc>
        <w:tc>
          <w:tcPr>
            <w:tcW w:w="3867" w:type="dxa"/>
          </w:tcPr>
          <w:p w14:paraId="165F0B48" w14:textId="77777777" w:rsidR="00894C99" w:rsidRPr="00941547" w:rsidRDefault="00894C99" w:rsidP="00FD5E79">
            <w:pPr>
              <w:spacing w:before="120"/>
              <w:rPr>
                <w:b/>
                <w:u w:val="single"/>
              </w:rPr>
            </w:pPr>
            <w:r w:rsidRPr="00941547">
              <w:rPr>
                <w:b/>
                <w:u w:val="single"/>
              </w:rPr>
              <w:t>Skills and Applications Task 1</w:t>
            </w:r>
          </w:p>
          <w:p w14:paraId="5740815A" w14:textId="77777777" w:rsidR="00E03E67" w:rsidRPr="00DD0C43" w:rsidRDefault="00894C99" w:rsidP="00DD0C43">
            <w:pPr>
              <w:spacing w:before="120"/>
              <w:rPr>
                <w:rFonts w:asciiTheme="minorBidi" w:hAnsiTheme="minorBidi" w:cstheme="minorBidi"/>
              </w:rPr>
            </w:pPr>
            <w:r>
              <w:t xml:space="preserve">Section 4 </w:t>
            </w:r>
            <w:r w:rsidR="00DD0C43">
              <w:t>– P</w:t>
            </w:r>
            <w:r>
              <w:t>rovides</w:t>
            </w:r>
            <w:r w:rsidR="00E03E67">
              <w:t xml:space="preserve"> evidence of </w:t>
            </w:r>
            <w:r>
              <w:t xml:space="preserve">the </w:t>
            </w:r>
            <w:r w:rsidR="00E03E67">
              <w:t>ability to</w:t>
            </w:r>
            <w:r w:rsidR="00DD0C43">
              <w:t xml:space="preserve"> perform </w:t>
            </w:r>
            <w:r w:rsidR="00E03E67" w:rsidRPr="00DD0C43">
              <w:rPr>
                <w:rFonts w:asciiTheme="minorBidi" w:hAnsiTheme="minorBidi" w:cstheme="minorBidi"/>
              </w:rPr>
              <w:t>conversions between time representations</w:t>
            </w:r>
            <w:r w:rsidR="00DD0C43">
              <w:rPr>
                <w:rFonts w:asciiTheme="minorBidi" w:hAnsiTheme="minorBidi" w:cstheme="minorBidi"/>
              </w:rPr>
              <w:t xml:space="preserve"> and u</w:t>
            </w:r>
            <w:r w:rsidR="00E03E67" w:rsidRPr="00DD0C43">
              <w:rPr>
                <w:rFonts w:asciiTheme="minorBidi" w:hAnsiTheme="minorBidi" w:cstheme="minorBidi"/>
              </w:rPr>
              <w:t>s</w:t>
            </w:r>
            <w:r w:rsidR="00DD0C43">
              <w:rPr>
                <w:rFonts w:asciiTheme="minorBidi" w:hAnsiTheme="minorBidi" w:cstheme="minorBidi"/>
              </w:rPr>
              <w:t>e</w:t>
            </w:r>
            <w:r w:rsidR="00E03E67" w:rsidRPr="00DD0C43">
              <w:rPr>
                <w:rFonts w:asciiTheme="minorBidi" w:hAnsiTheme="minorBidi" w:cstheme="minorBidi"/>
              </w:rPr>
              <w:t xml:space="preserve"> timetables.</w:t>
            </w:r>
          </w:p>
          <w:p w14:paraId="60AF3C60" w14:textId="77777777" w:rsidR="00DD0C43" w:rsidRDefault="00DD0C43" w:rsidP="00DD0C43">
            <w:pPr>
              <w:rPr>
                <w:rFonts w:asciiTheme="minorBidi" w:hAnsiTheme="minorBidi" w:cstheme="minorBidi"/>
              </w:rPr>
            </w:pPr>
          </w:p>
          <w:p w14:paraId="3DAC112E" w14:textId="77777777" w:rsidR="00E03E67" w:rsidRPr="00DD0C43" w:rsidRDefault="00DD0C43" w:rsidP="00DD0C43">
            <w:pPr>
              <w:rPr>
                <w:rFonts w:asciiTheme="minorBidi" w:hAnsiTheme="minorBidi" w:cstheme="minorBidi"/>
              </w:rPr>
            </w:pPr>
            <w:r>
              <w:rPr>
                <w:rFonts w:asciiTheme="minorBidi" w:hAnsiTheme="minorBidi" w:cstheme="minorBidi"/>
              </w:rPr>
              <w:t xml:space="preserve">This section could be extended </w:t>
            </w:r>
            <w:r w:rsidR="00E03E67" w:rsidRPr="00DD0C43">
              <w:rPr>
                <w:rFonts w:asciiTheme="minorBidi" w:hAnsiTheme="minorBidi" w:cstheme="minorBidi"/>
              </w:rPr>
              <w:t>into estimation of duration of journey by plane, including understanding and ability to consider time zone differences. (The context could be varied to support local expertise or opportunities).</w:t>
            </w:r>
          </w:p>
          <w:p w14:paraId="0D1BF78B" w14:textId="77777777" w:rsidR="00E03E67" w:rsidRPr="00E03E67" w:rsidRDefault="00E03E67" w:rsidP="00E03E67"/>
        </w:tc>
      </w:tr>
      <w:tr w:rsidR="00894C99" w14:paraId="3FCADC97" w14:textId="77777777" w:rsidTr="00EC61E8">
        <w:trPr>
          <w:trHeight w:val="2206"/>
        </w:trPr>
        <w:tc>
          <w:tcPr>
            <w:tcW w:w="1771" w:type="dxa"/>
            <w:vMerge/>
            <w:tcBorders>
              <w:bottom w:val="single" w:sz="4" w:space="0" w:color="auto"/>
            </w:tcBorders>
          </w:tcPr>
          <w:p w14:paraId="28DCC617" w14:textId="77777777" w:rsidR="00894C99" w:rsidRDefault="00894C99" w:rsidP="009221AB"/>
        </w:tc>
        <w:tc>
          <w:tcPr>
            <w:tcW w:w="3576" w:type="dxa"/>
          </w:tcPr>
          <w:p w14:paraId="38A81DCC" w14:textId="77777777" w:rsidR="00894C99" w:rsidRDefault="00894C99" w:rsidP="009221AB">
            <w:pPr>
              <w:rPr>
                <w:b/>
                <w:color w:val="000000"/>
                <w:lang w:val="en-US" w:eastAsia="en-US"/>
              </w:rPr>
            </w:pPr>
          </w:p>
          <w:p w14:paraId="248BF2DA" w14:textId="77777777" w:rsidR="00894C99" w:rsidRPr="005D4B14" w:rsidRDefault="00894C99" w:rsidP="005D4B14">
            <w:pPr>
              <w:rPr>
                <w:b/>
                <w:color w:val="000000"/>
                <w:lang w:val="en-US" w:eastAsia="en-US"/>
              </w:rPr>
            </w:pPr>
            <w:r w:rsidRPr="005D4B14">
              <w:rPr>
                <w:b/>
                <w:color w:val="000000"/>
                <w:lang w:val="en-US" w:eastAsia="en-US"/>
              </w:rPr>
              <w:t>How can we use rates to make comparisons?</w:t>
            </w:r>
          </w:p>
          <w:p w14:paraId="27F06392" w14:textId="77777777" w:rsidR="00894C99" w:rsidRPr="00956390" w:rsidRDefault="00894C99" w:rsidP="00956390">
            <w:pPr>
              <w:pStyle w:val="SOFinalContentTableBullets"/>
              <w:rPr>
                <w:color w:val="auto"/>
              </w:rPr>
            </w:pPr>
            <w:r w:rsidRPr="005D4B14">
              <w:rPr>
                <w:color w:val="auto"/>
              </w:rPr>
              <w:t>use rates to make com</w:t>
            </w:r>
            <w:r>
              <w:rPr>
                <w:color w:val="auto"/>
              </w:rPr>
              <w:t>parisons and to solve problems</w:t>
            </w:r>
            <w:r w:rsidRPr="005D4B14">
              <w:rPr>
                <w:color w:val="auto"/>
              </w:rPr>
              <w:t xml:space="preserve"> </w:t>
            </w:r>
          </w:p>
        </w:tc>
        <w:tc>
          <w:tcPr>
            <w:tcW w:w="3867" w:type="dxa"/>
          </w:tcPr>
          <w:p w14:paraId="4C28B1BA" w14:textId="77777777" w:rsidR="00894C99" w:rsidRPr="00941547" w:rsidRDefault="00894C99" w:rsidP="00FD5E79">
            <w:pPr>
              <w:spacing w:before="120"/>
              <w:rPr>
                <w:b/>
                <w:u w:val="single"/>
              </w:rPr>
            </w:pPr>
            <w:r w:rsidRPr="00941547">
              <w:rPr>
                <w:b/>
                <w:u w:val="single"/>
              </w:rPr>
              <w:t>Skills and Applications Task 1</w:t>
            </w:r>
          </w:p>
          <w:p w14:paraId="503716AB" w14:textId="77777777" w:rsidR="00894C99" w:rsidRDefault="00894C99" w:rsidP="00894C99">
            <w:pPr>
              <w:spacing w:before="120"/>
            </w:pPr>
            <w:r>
              <w:t xml:space="preserve">Section 5 </w:t>
            </w:r>
            <w:r w:rsidR="00C05776">
              <w:t>–</w:t>
            </w:r>
            <w:r>
              <w:t xml:space="preserve"> </w:t>
            </w:r>
            <w:r w:rsidR="00DD0C43">
              <w:t>P</w:t>
            </w:r>
            <w:r w:rsidR="00C05776">
              <w:t xml:space="preserve">roblems </w:t>
            </w:r>
            <w:r>
              <w:t>requiring conversion of prices to a unit price to enable comparisons between products. Students then use this information to determine the best buy. Questions requiring students to discuss the appropriateness of their choice given considerations such as wastage.</w:t>
            </w:r>
          </w:p>
          <w:p w14:paraId="6C6D7FC0" w14:textId="77777777" w:rsidR="00DD0C43" w:rsidRDefault="00DD0C43" w:rsidP="00894C99">
            <w:pPr>
              <w:spacing w:before="120"/>
            </w:pPr>
          </w:p>
        </w:tc>
      </w:tr>
      <w:tr w:rsidR="00894C99" w14:paraId="4115B38F" w14:textId="77777777" w:rsidTr="00EC61E8">
        <w:trPr>
          <w:trHeight w:val="2110"/>
        </w:trPr>
        <w:tc>
          <w:tcPr>
            <w:tcW w:w="1771" w:type="dxa"/>
            <w:vMerge w:val="restart"/>
          </w:tcPr>
          <w:p w14:paraId="647D5FCD" w14:textId="77777777" w:rsidR="00894C99" w:rsidRPr="00EC5966" w:rsidRDefault="00894C99" w:rsidP="00BC6216">
            <w:pPr>
              <w:spacing w:before="240"/>
              <w:rPr>
                <w:b/>
              </w:rPr>
            </w:pPr>
            <w:r w:rsidRPr="00EC5966">
              <w:rPr>
                <w:b/>
              </w:rPr>
              <w:t>1.3: Ratio and Scale</w:t>
            </w:r>
          </w:p>
        </w:tc>
        <w:tc>
          <w:tcPr>
            <w:tcW w:w="3576" w:type="dxa"/>
            <w:vMerge w:val="restart"/>
          </w:tcPr>
          <w:p w14:paraId="38D1183C" w14:textId="77777777" w:rsidR="0052557E" w:rsidRDefault="0052557E" w:rsidP="00EC5966">
            <w:pPr>
              <w:rPr>
                <w:b/>
                <w:color w:val="000000"/>
                <w:lang w:val="en-US" w:eastAsia="en-US"/>
              </w:rPr>
            </w:pPr>
          </w:p>
          <w:p w14:paraId="489B8AB1" w14:textId="77777777" w:rsidR="00894C99" w:rsidRPr="00EC5966" w:rsidRDefault="00894C99" w:rsidP="00EC5966">
            <w:pPr>
              <w:rPr>
                <w:b/>
                <w:color w:val="000000"/>
                <w:lang w:val="en-US" w:eastAsia="en-US"/>
              </w:rPr>
            </w:pPr>
            <w:r w:rsidRPr="00EC5966">
              <w:rPr>
                <w:b/>
                <w:color w:val="000000"/>
                <w:lang w:val="en-US" w:eastAsia="en-US"/>
              </w:rPr>
              <w:t>What is a ratio and how do we use them to solve problems?</w:t>
            </w:r>
          </w:p>
          <w:p w14:paraId="12247A6D" w14:textId="77777777" w:rsidR="00894C99" w:rsidRPr="00EC5966" w:rsidRDefault="00894C99" w:rsidP="00EC5966">
            <w:pPr>
              <w:pStyle w:val="SOFinalContentTableBullets"/>
              <w:rPr>
                <w:color w:val="auto"/>
              </w:rPr>
            </w:pPr>
            <w:r w:rsidRPr="00EC5966">
              <w:rPr>
                <w:lang w:eastAsia="en-US"/>
              </w:rPr>
              <w:t xml:space="preserve">the </w:t>
            </w:r>
            <w:r w:rsidRPr="00EC5966">
              <w:rPr>
                <w:color w:val="auto"/>
              </w:rPr>
              <w:t xml:space="preserve">relationship between fractions and ratio </w:t>
            </w:r>
          </w:p>
          <w:p w14:paraId="1C795E13" w14:textId="77777777" w:rsidR="00894C99" w:rsidRPr="00EC5966" w:rsidRDefault="00894C99" w:rsidP="00EC5966">
            <w:pPr>
              <w:pStyle w:val="SOFinalContentTableBullets"/>
              <w:rPr>
                <w:color w:val="auto"/>
              </w:rPr>
            </w:pPr>
            <w:r w:rsidRPr="00EC5966">
              <w:rPr>
                <w:color w:val="auto"/>
              </w:rPr>
              <w:t>express a ratio in simplest form</w:t>
            </w:r>
          </w:p>
          <w:p w14:paraId="771AB466" w14:textId="77777777" w:rsidR="00894C99" w:rsidRPr="00EC5966" w:rsidRDefault="00894C99" w:rsidP="00EC5966">
            <w:pPr>
              <w:pStyle w:val="SOFinalContentTableBullets"/>
              <w:rPr>
                <w:color w:val="auto"/>
              </w:rPr>
            </w:pPr>
            <w:r w:rsidRPr="00EC5966">
              <w:rPr>
                <w:color w:val="auto"/>
              </w:rPr>
              <w:t>find the ratio of two quantities</w:t>
            </w:r>
          </w:p>
          <w:p w14:paraId="5687A16B" w14:textId="77777777" w:rsidR="00894C99" w:rsidRPr="00407C8F" w:rsidRDefault="00894C99" w:rsidP="00DD0C43">
            <w:pPr>
              <w:pStyle w:val="SOFinalContentTableBullets"/>
              <w:rPr>
                <w:b/>
                <w:lang w:eastAsia="en-US"/>
              </w:rPr>
            </w:pPr>
            <w:r w:rsidRPr="00EC5966">
              <w:rPr>
                <w:color w:val="auto"/>
              </w:rPr>
              <w:t>divide</w:t>
            </w:r>
            <w:r w:rsidRPr="00EC5966">
              <w:rPr>
                <w:lang w:eastAsia="en-US"/>
              </w:rPr>
              <w:t xml:space="preserve"> a quantity in a given ratio </w:t>
            </w:r>
          </w:p>
        </w:tc>
        <w:tc>
          <w:tcPr>
            <w:tcW w:w="3867" w:type="dxa"/>
          </w:tcPr>
          <w:p w14:paraId="2C486329" w14:textId="77777777" w:rsidR="00894C99" w:rsidRPr="00941547" w:rsidRDefault="00894C99" w:rsidP="00FD5E79">
            <w:pPr>
              <w:spacing w:before="120"/>
              <w:rPr>
                <w:b/>
                <w:u w:val="single"/>
              </w:rPr>
            </w:pPr>
            <w:r w:rsidRPr="00941547">
              <w:rPr>
                <w:b/>
                <w:u w:val="single"/>
              </w:rPr>
              <w:t>Skills and Applications Task 1</w:t>
            </w:r>
          </w:p>
          <w:p w14:paraId="7010D4D6" w14:textId="77777777" w:rsidR="00894C99" w:rsidRDefault="00894C99" w:rsidP="00894C99"/>
          <w:p w14:paraId="50C217BE" w14:textId="77777777" w:rsidR="00C05776" w:rsidRDefault="00C05776" w:rsidP="00A80F99">
            <w:r>
              <w:t xml:space="preserve">Section 6 </w:t>
            </w:r>
            <w:r w:rsidR="00DD0C43">
              <w:t xml:space="preserve">– </w:t>
            </w:r>
            <w:r w:rsidR="0052557E">
              <w:t xml:space="preserve">Provides evidence of the ability to </w:t>
            </w:r>
            <w:r w:rsidR="00A80F99">
              <w:t xml:space="preserve">express two quantities as a ratio and to express that ratio in the simplest form. </w:t>
            </w:r>
          </w:p>
        </w:tc>
      </w:tr>
      <w:tr w:rsidR="00894C99" w14:paraId="3FF47D62" w14:textId="77777777" w:rsidTr="00EC61E8">
        <w:trPr>
          <w:trHeight w:val="924"/>
        </w:trPr>
        <w:tc>
          <w:tcPr>
            <w:tcW w:w="1771" w:type="dxa"/>
            <w:vMerge/>
          </w:tcPr>
          <w:p w14:paraId="78963F20" w14:textId="77777777" w:rsidR="00894C99" w:rsidRPr="00EC5966" w:rsidRDefault="00894C99" w:rsidP="00BC6216">
            <w:pPr>
              <w:spacing w:before="240"/>
              <w:rPr>
                <w:b/>
              </w:rPr>
            </w:pPr>
          </w:p>
        </w:tc>
        <w:tc>
          <w:tcPr>
            <w:tcW w:w="3576" w:type="dxa"/>
            <w:vMerge/>
          </w:tcPr>
          <w:p w14:paraId="3700A816" w14:textId="77777777" w:rsidR="00894C99" w:rsidRPr="00EC5966" w:rsidRDefault="00894C99" w:rsidP="00EC5966">
            <w:pPr>
              <w:rPr>
                <w:b/>
                <w:color w:val="000000"/>
                <w:lang w:val="en-US" w:eastAsia="en-US"/>
              </w:rPr>
            </w:pPr>
          </w:p>
        </w:tc>
        <w:tc>
          <w:tcPr>
            <w:tcW w:w="3867" w:type="dxa"/>
          </w:tcPr>
          <w:p w14:paraId="2F3D1867" w14:textId="77777777" w:rsidR="00894C99" w:rsidRDefault="00894C99" w:rsidP="00DD0C43">
            <w:r>
              <w:t xml:space="preserve">The </w:t>
            </w:r>
            <w:r w:rsidR="0052557E">
              <w:t>six s</w:t>
            </w:r>
            <w:r w:rsidR="00C05776">
              <w:t xml:space="preserve">ections above </w:t>
            </w:r>
            <w:r w:rsidR="00DD0C43">
              <w:t xml:space="preserve">are </w:t>
            </w:r>
            <w:r w:rsidR="0052557E">
              <w:t xml:space="preserve">presented in a single booklet to the students. </w:t>
            </w:r>
            <w:r w:rsidR="00DD0C43">
              <w:t xml:space="preserve">Students </w:t>
            </w:r>
            <w:r w:rsidR="0052557E">
              <w:t xml:space="preserve">complete one </w:t>
            </w:r>
            <w:r w:rsidR="00DD0C43">
              <w:t xml:space="preserve">section </w:t>
            </w:r>
            <w:r w:rsidR="0052557E">
              <w:t xml:space="preserve">at a time as they complete the learning for each section. These </w:t>
            </w:r>
            <w:r w:rsidR="00C05776">
              <w:t>combine to form</w:t>
            </w:r>
            <w:r>
              <w:t xml:space="preserve"> the collection of evidence that is </w:t>
            </w:r>
            <w:r w:rsidRPr="00EC5966">
              <w:rPr>
                <w:b/>
              </w:rPr>
              <w:t>Skil</w:t>
            </w:r>
            <w:r>
              <w:rPr>
                <w:b/>
              </w:rPr>
              <w:t>ls and Applications Assessment 1</w:t>
            </w:r>
            <w:r>
              <w:t>.</w:t>
            </w:r>
          </w:p>
          <w:p w14:paraId="55DDFB09" w14:textId="77777777" w:rsidR="00DD0C43" w:rsidRDefault="00DD0C43" w:rsidP="00DD0C43"/>
        </w:tc>
      </w:tr>
      <w:tr w:rsidR="00894C99" w14:paraId="076D9967" w14:textId="77777777" w:rsidTr="00EC61E8">
        <w:trPr>
          <w:trHeight w:val="1408"/>
        </w:trPr>
        <w:tc>
          <w:tcPr>
            <w:tcW w:w="1771" w:type="dxa"/>
            <w:vMerge/>
          </w:tcPr>
          <w:p w14:paraId="217AEEC5" w14:textId="77777777" w:rsidR="00894C99" w:rsidRDefault="00894C99" w:rsidP="009221AB"/>
        </w:tc>
        <w:tc>
          <w:tcPr>
            <w:tcW w:w="3576" w:type="dxa"/>
          </w:tcPr>
          <w:p w14:paraId="0426D110" w14:textId="77777777" w:rsidR="00CE3ABD" w:rsidRDefault="00CE3ABD" w:rsidP="00EC5966">
            <w:pPr>
              <w:rPr>
                <w:b/>
                <w:color w:val="000000"/>
                <w:lang w:val="en-US" w:eastAsia="en-US"/>
              </w:rPr>
            </w:pPr>
          </w:p>
          <w:p w14:paraId="602F0FF4" w14:textId="77777777" w:rsidR="00894C99" w:rsidRPr="00EC5966" w:rsidRDefault="00894C99" w:rsidP="00EC5966">
            <w:pPr>
              <w:rPr>
                <w:b/>
                <w:color w:val="000000"/>
                <w:lang w:val="en-US" w:eastAsia="en-US"/>
              </w:rPr>
            </w:pPr>
            <w:r w:rsidRPr="00EC5966">
              <w:rPr>
                <w:b/>
                <w:color w:val="000000"/>
                <w:lang w:val="en-US" w:eastAsia="en-US"/>
              </w:rPr>
              <w:t>How does a scale factor work?</w:t>
            </w:r>
          </w:p>
          <w:p w14:paraId="0883E5E0" w14:textId="77777777" w:rsidR="00894C99" w:rsidRPr="00EC5966" w:rsidRDefault="00894C99" w:rsidP="00EC5966">
            <w:pPr>
              <w:pStyle w:val="SOFinalContentTableBullets"/>
              <w:rPr>
                <w:color w:val="auto"/>
              </w:rPr>
            </w:pPr>
            <w:r w:rsidRPr="00EC5966">
              <w:rPr>
                <w:color w:val="auto"/>
              </w:rPr>
              <w:t>Scale factor</w:t>
            </w:r>
          </w:p>
          <w:p w14:paraId="47167ADF" w14:textId="77777777" w:rsidR="00894C99" w:rsidRPr="00EC5966" w:rsidRDefault="00894C99" w:rsidP="00EC5966">
            <w:pPr>
              <w:pStyle w:val="SOFinalContentTableBullets"/>
              <w:rPr>
                <w:color w:val="auto"/>
              </w:rPr>
            </w:pPr>
            <w:r w:rsidRPr="00EC5966">
              <w:rPr>
                <w:color w:val="auto"/>
              </w:rPr>
              <w:t>Scale diagrams</w:t>
            </w:r>
          </w:p>
          <w:p w14:paraId="44749534" w14:textId="77777777" w:rsidR="00894C99" w:rsidRPr="00EC5966" w:rsidRDefault="00894C99" w:rsidP="00EC5966">
            <w:pPr>
              <w:pStyle w:val="SOFinalContentTableBullets"/>
              <w:rPr>
                <w:color w:val="auto"/>
              </w:rPr>
            </w:pPr>
            <w:r w:rsidRPr="00EC5966">
              <w:rPr>
                <w:color w:val="auto"/>
              </w:rPr>
              <w:t xml:space="preserve">Calculation of actual and scale distances </w:t>
            </w:r>
          </w:p>
          <w:p w14:paraId="478CBDB6" w14:textId="77777777" w:rsidR="00894C99" w:rsidRPr="00407C8F" w:rsidRDefault="00894C99" w:rsidP="005D4B14">
            <w:pPr>
              <w:rPr>
                <w:b/>
                <w:color w:val="000000"/>
                <w:lang w:val="en-US" w:eastAsia="en-US"/>
              </w:rPr>
            </w:pPr>
          </w:p>
        </w:tc>
        <w:tc>
          <w:tcPr>
            <w:tcW w:w="3867" w:type="dxa"/>
          </w:tcPr>
          <w:p w14:paraId="7D56D671" w14:textId="77777777" w:rsidR="00894C99" w:rsidRDefault="00FA7DD6" w:rsidP="00DD0C43">
            <w:pPr>
              <w:spacing w:before="120" w:after="120"/>
            </w:pPr>
            <w:r>
              <w:rPr>
                <w:b/>
              </w:rPr>
              <w:t>Folio</w:t>
            </w:r>
            <w:r w:rsidR="00CE3ABD">
              <w:rPr>
                <w:b/>
              </w:rPr>
              <w:t xml:space="preserve"> 1</w:t>
            </w:r>
            <w:r w:rsidR="00894C99" w:rsidRPr="00EC5966">
              <w:rPr>
                <w:b/>
              </w:rPr>
              <w:t>:</w:t>
            </w:r>
            <w:r w:rsidR="00894C99">
              <w:t xml:space="preserve"> A practical activity in which students create a scale</w:t>
            </w:r>
            <w:r>
              <w:t>d</w:t>
            </w:r>
            <w:r w:rsidR="00894C99">
              <w:t xml:space="preserve"> diagram of their bedroom (or an</w:t>
            </w:r>
            <w:r>
              <w:t xml:space="preserve">other room in their house), then </w:t>
            </w:r>
            <w:r w:rsidR="00894C99">
              <w:t>create scaled cut-outs of items (chosen from catalogues or a visit to a furniture sto</w:t>
            </w:r>
            <w:r>
              <w:t>r</w:t>
            </w:r>
            <w:r w:rsidR="00CE3ABD">
              <w:t>e) t</w:t>
            </w:r>
            <w:r w:rsidR="00DD0C43">
              <w:t>o</w:t>
            </w:r>
            <w:r>
              <w:t xml:space="preserve"> furnish their room. Two</w:t>
            </w:r>
            <w:r w:rsidR="00894C99">
              <w:t xml:space="preserve"> designs are constructed and </w:t>
            </w:r>
            <w:r>
              <w:t>justification of</w:t>
            </w:r>
            <w:r w:rsidR="00894C99">
              <w:t xml:space="preserve"> which is</w:t>
            </w:r>
            <w:r>
              <w:t xml:space="preserve"> the better design</w:t>
            </w:r>
            <w:r w:rsidR="00CE3ABD">
              <w:t xml:space="preserve"> is included in the individual response</w:t>
            </w:r>
            <w:r>
              <w:t xml:space="preserve">. </w:t>
            </w:r>
            <w:r w:rsidRPr="00CE3ABD">
              <w:rPr>
                <w:b/>
              </w:rPr>
              <w:t>Maximum of 6</w:t>
            </w:r>
            <w:r w:rsidR="00894C99" w:rsidRPr="00CE3ABD">
              <w:rPr>
                <w:b/>
              </w:rPr>
              <w:t xml:space="preserve"> A4 pages.</w:t>
            </w:r>
          </w:p>
        </w:tc>
      </w:tr>
    </w:tbl>
    <w:p w14:paraId="12A2AAB6" w14:textId="77777777" w:rsidR="005A7A9D" w:rsidRDefault="005A7A9D"/>
    <w:p w14:paraId="057BB4A1" w14:textId="77777777" w:rsidR="00EC5966" w:rsidRDefault="00EC5966" w:rsidP="005A7A9D">
      <w:pPr>
        <w:rPr>
          <w:b/>
          <w:u w:val="single"/>
        </w:rPr>
      </w:pPr>
    </w:p>
    <w:p w14:paraId="75CD33EA" w14:textId="77777777" w:rsidR="00CE3ABD" w:rsidRDefault="00CE3ABD">
      <w:pPr>
        <w:spacing w:after="200" w:line="276" w:lineRule="auto"/>
        <w:rPr>
          <w:b/>
          <w:u w:val="single"/>
        </w:rPr>
      </w:pPr>
      <w:r>
        <w:rPr>
          <w:b/>
          <w:u w:val="single"/>
        </w:rPr>
        <w:br w:type="page"/>
      </w:r>
    </w:p>
    <w:p w14:paraId="5C4D9762" w14:textId="77777777" w:rsidR="005A7A9D" w:rsidRPr="006F0785" w:rsidRDefault="005A7A9D" w:rsidP="00FD5E79">
      <w:pPr>
        <w:ind w:left="142"/>
        <w:rPr>
          <w:b/>
        </w:rPr>
      </w:pPr>
      <w:r w:rsidRPr="006F0785">
        <w:rPr>
          <w:b/>
        </w:rPr>
        <w:lastRenderedPageBreak/>
        <w:t xml:space="preserve">Topic </w:t>
      </w:r>
      <w:r w:rsidR="00B76902" w:rsidRPr="006F0785">
        <w:rPr>
          <w:b/>
        </w:rPr>
        <w:t xml:space="preserve">2: </w:t>
      </w:r>
      <w:r w:rsidR="002348F2" w:rsidRPr="006F0785">
        <w:rPr>
          <w:b/>
        </w:rPr>
        <w:t>Earning and Spending</w:t>
      </w:r>
    </w:p>
    <w:p w14:paraId="27B582B7" w14:textId="77777777" w:rsidR="00B76902" w:rsidRPr="005A7A9D" w:rsidRDefault="00B76902" w:rsidP="005A7A9D">
      <w:pPr>
        <w:rPr>
          <w:b/>
          <w:u w:val="single"/>
        </w:rPr>
      </w:pPr>
    </w:p>
    <w:tbl>
      <w:tblPr>
        <w:tblStyle w:val="TableGrid"/>
        <w:tblW w:w="9072" w:type="dxa"/>
        <w:tblInd w:w="250" w:type="dxa"/>
        <w:tblLook w:val="04A0" w:firstRow="1" w:lastRow="0" w:firstColumn="1" w:lastColumn="0" w:noHBand="0" w:noVBand="1"/>
      </w:tblPr>
      <w:tblGrid>
        <w:gridCol w:w="1559"/>
        <w:gridCol w:w="3686"/>
        <w:gridCol w:w="3827"/>
      </w:tblGrid>
      <w:tr w:rsidR="00B76902" w:rsidRPr="005A7A9D" w14:paraId="5B4B86E5" w14:textId="77777777" w:rsidTr="00FD5E79">
        <w:tc>
          <w:tcPr>
            <w:tcW w:w="1559" w:type="dxa"/>
          </w:tcPr>
          <w:p w14:paraId="79646079" w14:textId="77777777" w:rsidR="00B76902" w:rsidRPr="005A7A9D" w:rsidRDefault="00B76902" w:rsidP="009221AB">
            <w:pPr>
              <w:rPr>
                <w:b/>
              </w:rPr>
            </w:pPr>
            <w:r w:rsidRPr="005A7A9D">
              <w:rPr>
                <w:b/>
              </w:rPr>
              <w:t>Subtopic</w:t>
            </w:r>
          </w:p>
        </w:tc>
        <w:tc>
          <w:tcPr>
            <w:tcW w:w="3686" w:type="dxa"/>
          </w:tcPr>
          <w:p w14:paraId="1AD5F26D" w14:textId="77777777" w:rsidR="00B76902" w:rsidRPr="005A7A9D" w:rsidRDefault="00B76902" w:rsidP="009221AB">
            <w:pPr>
              <w:rPr>
                <w:b/>
              </w:rPr>
            </w:pPr>
            <w:r w:rsidRPr="005A7A9D">
              <w:rPr>
                <w:b/>
              </w:rPr>
              <w:t>Content</w:t>
            </w:r>
          </w:p>
        </w:tc>
        <w:tc>
          <w:tcPr>
            <w:tcW w:w="3827" w:type="dxa"/>
          </w:tcPr>
          <w:p w14:paraId="1CC20BCD" w14:textId="77777777" w:rsidR="00B76902" w:rsidRPr="005A7A9D" w:rsidRDefault="00DD0C43" w:rsidP="009221AB">
            <w:pPr>
              <w:rPr>
                <w:b/>
              </w:rPr>
            </w:pPr>
            <w:r>
              <w:rPr>
                <w:b/>
              </w:rPr>
              <w:t>Assessment</w:t>
            </w:r>
          </w:p>
        </w:tc>
      </w:tr>
      <w:tr w:rsidR="00B76902" w14:paraId="712695E1" w14:textId="77777777" w:rsidTr="00FD5E79">
        <w:trPr>
          <w:trHeight w:val="2268"/>
        </w:trPr>
        <w:tc>
          <w:tcPr>
            <w:tcW w:w="1559" w:type="dxa"/>
          </w:tcPr>
          <w:p w14:paraId="7B82EDB5" w14:textId="77777777" w:rsidR="00B76902" w:rsidRPr="00155D51" w:rsidRDefault="00155D51" w:rsidP="00BC6216">
            <w:pPr>
              <w:spacing w:before="240"/>
              <w:rPr>
                <w:b/>
              </w:rPr>
            </w:pPr>
            <w:r>
              <w:rPr>
                <w:b/>
              </w:rPr>
              <w:t>2.2: Spending</w:t>
            </w:r>
          </w:p>
        </w:tc>
        <w:tc>
          <w:tcPr>
            <w:tcW w:w="3686" w:type="dxa"/>
          </w:tcPr>
          <w:p w14:paraId="68E635E2" w14:textId="77777777" w:rsidR="00B76902" w:rsidRDefault="00B76902" w:rsidP="009221AB">
            <w:pPr>
              <w:rPr>
                <w:color w:val="000000"/>
                <w:lang w:val="en-US" w:eastAsia="en-US"/>
              </w:rPr>
            </w:pPr>
          </w:p>
          <w:p w14:paraId="62AE0620" w14:textId="77777777" w:rsidR="00155D51" w:rsidRPr="00155D51" w:rsidRDefault="00155D51" w:rsidP="00155D51">
            <w:pPr>
              <w:rPr>
                <w:b/>
                <w:color w:val="000000"/>
                <w:lang w:val="en-US" w:eastAsia="en-US"/>
              </w:rPr>
            </w:pPr>
            <w:r w:rsidRPr="00155D51">
              <w:rPr>
                <w:b/>
                <w:color w:val="000000"/>
                <w:lang w:val="en-US" w:eastAsia="en-US"/>
              </w:rPr>
              <w:t>How can a percentage be expressed as a decimal or fraction?</w:t>
            </w:r>
          </w:p>
          <w:p w14:paraId="492DF076" w14:textId="77777777" w:rsidR="00155D51" w:rsidRDefault="00155D51" w:rsidP="00155D51">
            <w:pPr>
              <w:rPr>
                <w:color w:val="000000"/>
                <w:lang w:val="en-US" w:eastAsia="en-US"/>
              </w:rPr>
            </w:pPr>
          </w:p>
          <w:p w14:paraId="026EBBDB" w14:textId="77777777" w:rsidR="00155D51" w:rsidRPr="00155D51" w:rsidRDefault="00155D51" w:rsidP="00155D51">
            <w:pPr>
              <w:rPr>
                <w:b/>
                <w:color w:val="000000"/>
                <w:lang w:val="en-US" w:eastAsia="en-US"/>
              </w:rPr>
            </w:pPr>
            <w:r w:rsidRPr="00155D51">
              <w:rPr>
                <w:b/>
                <w:color w:val="000000"/>
                <w:lang w:val="en-US" w:eastAsia="en-US"/>
              </w:rPr>
              <w:t>How can the calculation of a percentage provide us with information?</w:t>
            </w:r>
          </w:p>
          <w:p w14:paraId="6D2983FE" w14:textId="77777777" w:rsidR="00155D51" w:rsidRPr="00155D51" w:rsidRDefault="00155D51" w:rsidP="00155D51">
            <w:pPr>
              <w:pStyle w:val="SOFinalContentTableBullets"/>
              <w:rPr>
                <w:color w:val="auto"/>
              </w:rPr>
            </w:pPr>
            <w:r w:rsidRPr="00155D51">
              <w:rPr>
                <w:color w:val="auto"/>
              </w:rPr>
              <w:t xml:space="preserve">finding a percentage of a given amount </w:t>
            </w:r>
          </w:p>
          <w:p w14:paraId="6CB99365" w14:textId="77777777" w:rsidR="00155D51" w:rsidRDefault="00155D51" w:rsidP="00155D51">
            <w:pPr>
              <w:pStyle w:val="SOFinalContentTableBullets"/>
            </w:pPr>
            <w:r w:rsidRPr="00155D51">
              <w:rPr>
                <w:color w:val="auto"/>
              </w:rPr>
              <w:t>determining one amount expressed as a percentage</w:t>
            </w:r>
            <w:r w:rsidRPr="00155D51">
              <w:t xml:space="preserve"> of another</w:t>
            </w:r>
          </w:p>
          <w:p w14:paraId="26587EA8" w14:textId="77777777" w:rsidR="00155D51" w:rsidRDefault="00155D51" w:rsidP="00155D51">
            <w:pPr>
              <w:pStyle w:val="SOFinalContentTableBullets"/>
              <w:numPr>
                <w:ilvl w:val="0"/>
                <w:numId w:val="0"/>
              </w:numPr>
              <w:ind w:left="170"/>
            </w:pPr>
          </w:p>
          <w:p w14:paraId="2BFFBB57" w14:textId="77777777" w:rsidR="00155D51" w:rsidRPr="00155D51" w:rsidRDefault="00155D51" w:rsidP="00155D51">
            <w:pPr>
              <w:rPr>
                <w:b/>
                <w:color w:val="000000"/>
                <w:lang w:val="en-US" w:eastAsia="en-US"/>
              </w:rPr>
            </w:pPr>
            <w:r w:rsidRPr="00155D51">
              <w:rPr>
                <w:b/>
                <w:color w:val="000000"/>
                <w:lang w:val="en-US" w:eastAsia="en-US"/>
              </w:rPr>
              <w:t>What impact do percentage increases and decreases have on the price of goods and services?</w:t>
            </w:r>
          </w:p>
          <w:p w14:paraId="0CC2B6F3" w14:textId="77777777" w:rsidR="00155D51" w:rsidRPr="00155D51" w:rsidRDefault="00155D51" w:rsidP="00155D51">
            <w:pPr>
              <w:pStyle w:val="SOFinalContentTableBullets"/>
              <w:rPr>
                <w:color w:val="auto"/>
              </w:rPr>
            </w:pPr>
            <w:r w:rsidRPr="00155D51">
              <w:rPr>
                <w:color w:val="auto"/>
              </w:rPr>
              <w:t>percentage increases and decreases</w:t>
            </w:r>
          </w:p>
          <w:p w14:paraId="24F1408D" w14:textId="77777777" w:rsidR="00155D51" w:rsidRPr="00155D51" w:rsidRDefault="00155D51" w:rsidP="00155D51">
            <w:pPr>
              <w:pStyle w:val="SOFinalContentTableBullets"/>
            </w:pPr>
            <w:r w:rsidRPr="00155D51">
              <w:rPr>
                <w:color w:val="auto"/>
              </w:rPr>
              <w:t>calculations involving mark-ups, discounts</w:t>
            </w:r>
            <w:r w:rsidRPr="00155D51">
              <w:rPr>
                <w:sz w:val="22"/>
                <w:lang w:eastAsia="en-US"/>
              </w:rPr>
              <w:t>, GST.</w:t>
            </w:r>
          </w:p>
          <w:p w14:paraId="56462482" w14:textId="77777777" w:rsidR="00B76902" w:rsidRDefault="00B76902" w:rsidP="00155D51">
            <w:pPr>
              <w:tabs>
                <w:tab w:val="num" w:pos="170"/>
              </w:tabs>
              <w:spacing w:before="40" w:after="40"/>
              <w:ind w:left="170" w:hanging="170"/>
            </w:pPr>
          </w:p>
        </w:tc>
        <w:tc>
          <w:tcPr>
            <w:tcW w:w="3827" w:type="dxa"/>
          </w:tcPr>
          <w:p w14:paraId="5BF36D69" w14:textId="77777777" w:rsidR="00155D51" w:rsidRDefault="00155D51" w:rsidP="008D6927"/>
          <w:p w14:paraId="24B93B59" w14:textId="77777777" w:rsidR="008D6927" w:rsidRPr="008D6927" w:rsidRDefault="008D6927" w:rsidP="005B19CD"/>
        </w:tc>
      </w:tr>
      <w:tr w:rsidR="00B76902" w14:paraId="15572E8E" w14:textId="77777777" w:rsidTr="00FD5E79">
        <w:trPr>
          <w:trHeight w:val="2270"/>
        </w:trPr>
        <w:tc>
          <w:tcPr>
            <w:tcW w:w="1559" w:type="dxa"/>
            <w:tcBorders>
              <w:bottom w:val="single" w:sz="4" w:space="0" w:color="auto"/>
            </w:tcBorders>
          </w:tcPr>
          <w:p w14:paraId="7050BCB1" w14:textId="77777777" w:rsidR="00B76902" w:rsidRDefault="00155D51" w:rsidP="00BC6216">
            <w:pPr>
              <w:spacing w:before="240"/>
            </w:pPr>
            <w:r w:rsidRPr="00155D51">
              <w:rPr>
                <w:b/>
              </w:rPr>
              <w:t>2.1 Earning</w:t>
            </w:r>
          </w:p>
        </w:tc>
        <w:tc>
          <w:tcPr>
            <w:tcW w:w="3686" w:type="dxa"/>
            <w:tcBorders>
              <w:bottom w:val="single" w:sz="4" w:space="0" w:color="auto"/>
            </w:tcBorders>
          </w:tcPr>
          <w:p w14:paraId="6463B820" w14:textId="77777777" w:rsidR="00CE3ABD" w:rsidRDefault="00CE3ABD" w:rsidP="00155D51">
            <w:pPr>
              <w:rPr>
                <w:b/>
                <w:color w:val="000000"/>
                <w:lang w:val="en-US" w:eastAsia="en-US"/>
              </w:rPr>
            </w:pPr>
          </w:p>
          <w:p w14:paraId="609B9E22" w14:textId="77777777" w:rsidR="00155D51" w:rsidRPr="002348F2" w:rsidRDefault="00155D51" w:rsidP="00155D51">
            <w:pPr>
              <w:rPr>
                <w:b/>
                <w:color w:val="000000"/>
                <w:lang w:val="en-US" w:eastAsia="en-US"/>
              </w:rPr>
            </w:pPr>
            <w:r w:rsidRPr="002348F2">
              <w:rPr>
                <w:b/>
                <w:color w:val="000000"/>
                <w:lang w:val="en-US" w:eastAsia="en-US"/>
              </w:rPr>
              <w:t>In which different ways can income be earned and received?</w:t>
            </w:r>
          </w:p>
          <w:p w14:paraId="4D0E5784" w14:textId="77777777" w:rsidR="00155D51" w:rsidRDefault="00155D51" w:rsidP="00155D51">
            <w:pPr>
              <w:rPr>
                <w:color w:val="000000"/>
                <w:lang w:val="en-US" w:eastAsia="en-US"/>
              </w:rPr>
            </w:pPr>
          </w:p>
          <w:p w14:paraId="3A4042A3" w14:textId="77777777" w:rsidR="00155D51" w:rsidRPr="002348F2" w:rsidRDefault="00155D51" w:rsidP="00155D51">
            <w:pPr>
              <w:tabs>
                <w:tab w:val="num" w:pos="170"/>
              </w:tabs>
              <w:spacing w:before="40" w:after="40"/>
              <w:ind w:left="170" w:hanging="170"/>
              <w:rPr>
                <w:rFonts w:eastAsia="MS Mincho" w:cs="Arial"/>
                <w:color w:val="000000"/>
                <w:lang w:val="en-US" w:eastAsia="en-US"/>
              </w:rPr>
            </w:pPr>
            <w:r w:rsidRPr="002348F2">
              <w:rPr>
                <w:rFonts w:eastAsia="MS Mincho" w:cs="Arial"/>
                <w:color w:val="000000"/>
                <w:lang w:val="en-US" w:eastAsia="en-US"/>
              </w:rPr>
              <w:t>Salary</w:t>
            </w:r>
          </w:p>
          <w:p w14:paraId="4E493F54" w14:textId="77777777" w:rsidR="00155D51" w:rsidRPr="002348F2" w:rsidRDefault="00155D51" w:rsidP="00155D51">
            <w:pPr>
              <w:tabs>
                <w:tab w:val="num" w:pos="170"/>
              </w:tabs>
              <w:spacing w:before="40" w:after="40"/>
              <w:ind w:left="170" w:hanging="170"/>
              <w:rPr>
                <w:rFonts w:eastAsia="MS Mincho" w:cs="Arial"/>
                <w:color w:val="000000"/>
                <w:lang w:val="en-US" w:eastAsia="en-US"/>
              </w:rPr>
            </w:pPr>
            <w:r w:rsidRPr="002348F2">
              <w:rPr>
                <w:rFonts w:eastAsia="MS Mincho" w:cs="Arial"/>
                <w:color w:val="000000"/>
                <w:lang w:val="en-US" w:eastAsia="en-US"/>
              </w:rPr>
              <w:t>Wages</w:t>
            </w:r>
          </w:p>
          <w:p w14:paraId="6B0F6ABB" w14:textId="77777777" w:rsidR="00155D51" w:rsidRPr="002348F2" w:rsidRDefault="00155D51" w:rsidP="00155D51">
            <w:pPr>
              <w:tabs>
                <w:tab w:val="num" w:pos="170"/>
              </w:tabs>
              <w:spacing w:before="40" w:after="40"/>
              <w:ind w:left="170" w:hanging="170"/>
              <w:rPr>
                <w:rFonts w:eastAsia="MS Mincho" w:cs="Arial"/>
                <w:color w:val="000000"/>
                <w:lang w:val="en-US" w:eastAsia="en-US"/>
              </w:rPr>
            </w:pPr>
            <w:r w:rsidRPr="002348F2">
              <w:rPr>
                <w:rFonts w:eastAsia="MS Mincho" w:cs="Arial"/>
                <w:color w:val="000000"/>
                <w:lang w:val="en-US" w:eastAsia="en-US"/>
              </w:rPr>
              <w:t>Hourly paid</w:t>
            </w:r>
          </w:p>
          <w:p w14:paraId="497E7361" w14:textId="77777777" w:rsidR="00155D51" w:rsidRPr="002348F2" w:rsidRDefault="00155D51" w:rsidP="00155D51">
            <w:pPr>
              <w:tabs>
                <w:tab w:val="num" w:pos="170"/>
              </w:tabs>
              <w:spacing w:before="40" w:after="40"/>
              <w:ind w:left="170" w:hanging="170"/>
              <w:rPr>
                <w:rFonts w:eastAsia="MS Mincho" w:cs="Arial"/>
                <w:color w:val="000000"/>
                <w:lang w:val="en-US" w:eastAsia="en-US"/>
              </w:rPr>
            </w:pPr>
            <w:r w:rsidRPr="002348F2">
              <w:rPr>
                <w:rFonts w:eastAsia="MS Mincho" w:cs="Arial"/>
                <w:color w:val="000000"/>
                <w:lang w:val="en-US" w:eastAsia="en-US"/>
              </w:rPr>
              <w:t>Commission</w:t>
            </w:r>
          </w:p>
          <w:p w14:paraId="131D3C5D" w14:textId="77777777" w:rsidR="00155D51" w:rsidRPr="002348F2" w:rsidRDefault="00155D51" w:rsidP="00155D51">
            <w:pPr>
              <w:tabs>
                <w:tab w:val="num" w:pos="170"/>
              </w:tabs>
              <w:spacing w:before="40" w:after="40"/>
              <w:ind w:left="170" w:hanging="170"/>
              <w:rPr>
                <w:rFonts w:eastAsia="MS Mincho" w:cs="Arial"/>
                <w:color w:val="000000"/>
                <w:lang w:val="en-US" w:eastAsia="en-US"/>
              </w:rPr>
            </w:pPr>
            <w:r w:rsidRPr="002348F2">
              <w:rPr>
                <w:rFonts w:eastAsia="MS Mincho" w:cs="Arial"/>
                <w:color w:val="000000"/>
                <w:lang w:val="en-US" w:eastAsia="en-US"/>
              </w:rPr>
              <w:t>Piecework</w:t>
            </w:r>
          </w:p>
          <w:p w14:paraId="63A17361" w14:textId="77777777" w:rsidR="00B76902" w:rsidRDefault="00B76902" w:rsidP="009221AB"/>
        </w:tc>
        <w:tc>
          <w:tcPr>
            <w:tcW w:w="3827" w:type="dxa"/>
            <w:tcBorders>
              <w:bottom w:val="single" w:sz="4" w:space="0" w:color="auto"/>
            </w:tcBorders>
          </w:tcPr>
          <w:p w14:paraId="43D447E6" w14:textId="77777777" w:rsidR="00155D51" w:rsidRPr="008D6927" w:rsidRDefault="00CE3ABD" w:rsidP="00FD5E79">
            <w:pPr>
              <w:spacing w:before="120"/>
              <w:rPr>
                <w:b/>
              </w:rPr>
            </w:pPr>
            <w:r>
              <w:rPr>
                <w:b/>
              </w:rPr>
              <w:t>Folio 2</w:t>
            </w:r>
            <w:r w:rsidR="00155D51" w:rsidRPr="008D6927">
              <w:rPr>
                <w:b/>
              </w:rPr>
              <w:t>:</w:t>
            </w:r>
          </w:p>
          <w:p w14:paraId="41D71F77" w14:textId="77777777" w:rsidR="00155D51" w:rsidRDefault="00155D51" w:rsidP="00155D51">
            <w:r>
              <w:t>Pizza shop telephone order operator</w:t>
            </w:r>
            <w:r w:rsidR="00DD0C43">
              <w:t>.</w:t>
            </w:r>
          </w:p>
          <w:p w14:paraId="74DEFB0F" w14:textId="77777777" w:rsidR="00155D51" w:rsidRDefault="00CE3ABD" w:rsidP="00155D51">
            <w:r>
              <w:t>Students investigate two</w:t>
            </w:r>
            <w:r w:rsidR="00155D51">
              <w:t xml:space="preserve"> scenarios of earning income and determine which option would be the best.</w:t>
            </w:r>
          </w:p>
          <w:p w14:paraId="29525EB2" w14:textId="77777777" w:rsidR="00155D51" w:rsidRDefault="00155D51" w:rsidP="00155D51">
            <w:r>
              <w:t xml:space="preserve"> </w:t>
            </w:r>
          </w:p>
          <w:p w14:paraId="58078A09" w14:textId="77777777" w:rsidR="00155D51" w:rsidRPr="00DD0C43" w:rsidRDefault="00155D51" w:rsidP="00155D51">
            <w:pPr>
              <w:pStyle w:val="ListParagraph"/>
              <w:numPr>
                <w:ilvl w:val="0"/>
                <w:numId w:val="15"/>
              </w:numPr>
              <w:rPr>
                <w:rFonts w:ascii="Arial" w:hAnsi="Arial" w:cs="Arial"/>
              </w:rPr>
            </w:pPr>
            <w:r w:rsidRPr="00DD0C43">
              <w:rPr>
                <w:rFonts w:ascii="Arial" w:hAnsi="Arial" w:cs="Arial"/>
              </w:rPr>
              <w:t>Paid per hour</w:t>
            </w:r>
          </w:p>
          <w:p w14:paraId="34475E07" w14:textId="77777777" w:rsidR="00155D51" w:rsidRPr="00DD0C43" w:rsidRDefault="00155D51" w:rsidP="00155D51">
            <w:pPr>
              <w:pStyle w:val="ListParagraph"/>
              <w:numPr>
                <w:ilvl w:val="0"/>
                <w:numId w:val="15"/>
              </w:numPr>
              <w:rPr>
                <w:rFonts w:ascii="Arial" w:hAnsi="Arial" w:cs="Arial"/>
              </w:rPr>
            </w:pPr>
            <w:r w:rsidRPr="00DD0C43">
              <w:rPr>
                <w:rFonts w:ascii="Arial" w:hAnsi="Arial" w:cs="Arial"/>
              </w:rPr>
              <w:t>Paid per order taken</w:t>
            </w:r>
          </w:p>
          <w:p w14:paraId="30EEF575" w14:textId="77777777" w:rsidR="00CE3ABD" w:rsidRDefault="00CE3ABD" w:rsidP="00CE3ABD"/>
          <w:p w14:paraId="5A4B44D9" w14:textId="77777777" w:rsidR="00CE3ABD" w:rsidRDefault="00CE3ABD" w:rsidP="00CE3ABD">
            <w:r>
              <w:t>Calculations are carried out by hand for the first week of data, and then a spreadsheet is created to investigate the earnings over a 4 week period of time.</w:t>
            </w:r>
          </w:p>
          <w:p w14:paraId="149D0D47" w14:textId="77777777" w:rsidR="00CE3ABD" w:rsidRDefault="00CE3ABD" w:rsidP="00CE3ABD"/>
          <w:p w14:paraId="68132B77" w14:textId="77777777" w:rsidR="00CE3ABD" w:rsidRPr="00CE3ABD" w:rsidRDefault="00CE3ABD" w:rsidP="00CE3ABD">
            <w:r>
              <w:t xml:space="preserve">An option to extend the task is provided with a brief scenario on earning by commission. </w:t>
            </w:r>
          </w:p>
          <w:p w14:paraId="427769CB" w14:textId="77777777" w:rsidR="00155D51" w:rsidRPr="00DD0C43" w:rsidRDefault="00155D51" w:rsidP="00155D51">
            <w:pPr>
              <w:pStyle w:val="ListParagraph"/>
              <w:numPr>
                <w:ilvl w:val="0"/>
                <w:numId w:val="15"/>
              </w:numPr>
              <w:rPr>
                <w:rFonts w:ascii="Arial" w:hAnsi="Arial" w:cs="Arial"/>
              </w:rPr>
            </w:pPr>
            <w:r w:rsidRPr="00DD0C43">
              <w:rPr>
                <w:rFonts w:ascii="Arial" w:hAnsi="Arial" w:cs="Arial"/>
              </w:rPr>
              <w:t>Paid on commission (retainer plus % orders)</w:t>
            </w:r>
          </w:p>
          <w:p w14:paraId="7A226A5B" w14:textId="77777777" w:rsidR="00B76902" w:rsidRDefault="00155D51" w:rsidP="00FD5E79">
            <w:pPr>
              <w:spacing w:after="120"/>
            </w:pPr>
            <w:r>
              <w:t xml:space="preserve">Students </w:t>
            </w:r>
            <w:r w:rsidR="00CE3ABD">
              <w:t xml:space="preserve">discuss which of the </w:t>
            </w:r>
            <w:r>
              <w:t>options</w:t>
            </w:r>
            <w:r w:rsidR="00CE3ABD">
              <w:t xml:space="preserve"> investigated </w:t>
            </w:r>
            <w:r>
              <w:t>would be best under different circumstances.</w:t>
            </w:r>
          </w:p>
        </w:tc>
      </w:tr>
    </w:tbl>
    <w:p w14:paraId="4CA1BD0D" w14:textId="77777777" w:rsidR="005A7A9D" w:rsidRDefault="005A7A9D" w:rsidP="005A7A9D"/>
    <w:p w14:paraId="73DE6FCA" w14:textId="77777777" w:rsidR="005A7A9D" w:rsidRDefault="005A7A9D"/>
    <w:p w14:paraId="377390F1" w14:textId="77777777" w:rsidR="00CE3ABD" w:rsidRDefault="00CE3ABD">
      <w:pPr>
        <w:spacing w:after="200" w:line="276" w:lineRule="auto"/>
        <w:rPr>
          <w:b/>
          <w:u w:val="single"/>
        </w:rPr>
      </w:pPr>
      <w:r>
        <w:rPr>
          <w:b/>
          <w:u w:val="single"/>
        </w:rPr>
        <w:br w:type="page"/>
      </w:r>
    </w:p>
    <w:p w14:paraId="678C516E" w14:textId="77777777" w:rsidR="005A7A9D" w:rsidRPr="006F0785" w:rsidRDefault="005A7A9D" w:rsidP="005A7A9D">
      <w:pPr>
        <w:rPr>
          <w:b/>
        </w:rPr>
      </w:pPr>
      <w:r w:rsidRPr="006F0785">
        <w:rPr>
          <w:b/>
        </w:rPr>
        <w:lastRenderedPageBreak/>
        <w:t xml:space="preserve">Topic </w:t>
      </w:r>
      <w:r w:rsidR="00B312EE" w:rsidRPr="006F0785">
        <w:rPr>
          <w:b/>
        </w:rPr>
        <w:t>3: Geometry</w:t>
      </w:r>
    </w:p>
    <w:p w14:paraId="0D1CC7AC" w14:textId="77777777" w:rsidR="005A7A9D" w:rsidRDefault="005A7A9D" w:rsidP="005A7A9D"/>
    <w:tbl>
      <w:tblPr>
        <w:tblStyle w:val="TableGrid"/>
        <w:tblW w:w="9747" w:type="dxa"/>
        <w:tblLayout w:type="fixed"/>
        <w:tblLook w:val="04A0" w:firstRow="1" w:lastRow="0" w:firstColumn="1" w:lastColumn="0" w:noHBand="0" w:noVBand="1"/>
      </w:tblPr>
      <w:tblGrid>
        <w:gridCol w:w="2638"/>
        <w:gridCol w:w="2857"/>
        <w:gridCol w:w="4252"/>
      </w:tblGrid>
      <w:tr w:rsidR="003A25DD" w:rsidRPr="005A7A9D" w14:paraId="0E26820D" w14:textId="77777777" w:rsidTr="00B66B73">
        <w:tc>
          <w:tcPr>
            <w:tcW w:w="2638" w:type="dxa"/>
          </w:tcPr>
          <w:p w14:paraId="2424DBBE" w14:textId="77777777" w:rsidR="005A7A9D" w:rsidRPr="005A7A9D" w:rsidRDefault="005A7A9D" w:rsidP="009221AB">
            <w:pPr>
              <w:rPr>
                <w:b/>
              </w:rPr>
            </w:pPr>
            <w:r w:rsidRPr="005A7A9D">
              <w:rPr>
                <w:b/>
              </w:rPr>
              <w:t>Subtopic</w:t>
            </w:r>
          </w:p>
        </w:tc>
        <w:tc>
          <w:tcPr>
            <w:tcW w:w="2857" w:type="dxa"/>
          </w:tcPr>
          <w:p w14:paraId="350EBBBA" w14:textId="77777777" w:rsidR="005A7A9D" w:rsidRPr="005A7A9D" w:rsidRDefault="005A7A9D" w:rsidP="009221AB">
            <w:pPr>
              <w:rPr>
                <w:b/>
              </w:rPr>
            </w:pPr>
            <w:r w:rsidRPr="005A7A9D">
              <w:rPr>
                <w:b/>
              </w:rPr>
              <w:t>Content</w:t>
            </w:r>
          </w:p>
        </w:tc>
        <w:tc>
          <w:tcPr>
            <w:tcW w:w="4252" w:type="dxa"/>
          </w:tcPr>
          <w:p w14:paraId="11448EC9" w14:textId="77777777" w:rsidR="005A7A9D" w:rsidRPr="005A7A9D" w:rsidRDefault="005A7A9D" w:rsidP="009221AB">
            <w:pPr>
              <w:rPr>
                <w:b/>
              </w:rPr>
            </w:pPr>
            <w:r w:rsidRPr="005A7A9D">
              <w:rPr>
                <w:b/>
              </w:rPr>
              <w:t>Assessment</w:t>
            </w:r>
          </w:p>
        </w:tc>
      </w:tr>
      <w:tr w:rsidR="003A25DD" w14:paraId="00FB7B26" w14:textId="77777777" w:rsidTr="00B66B73">
        <w:tc>
          <w:tcPr>
            <w:tcW w:w="2638" w:type="dxa"/>
            <w:vMerge w:val="restart"/>
          </w:tcPr>
          <w:p w14:paraId="7657D5B5" w14:textId="77777777" w:rsidR="00775C7B" w:rsidRPr="00775C7B" w:rsidRDefault="00775C7B" w:rsidP="00BC6216">
            <w:pPr>
              <w:spacing w:before="240"/>
              <w:rPr>
                <w:b/>
              </w:rPr>
            </w:pPr>
            <w:r w:rsidRPr="00775C7B">
              <w:rPr>
                <w:b/>
              </w:rPr>
              <w:t>3.1: Shapes</w:t>
            </w:r>
          </w:p>
        </w:tc>
        <w:tc>
          <w:tcPr>
            <w:tcW w:w="2857" w:type="dxa"/>
          </w:tcPr>
          <w:p w14:paraId="22AE684F" w14:textId="77777777" w:rsidR="00CE3ABD" w:rsidRDefault="00CE3ABD" w:rsidP="00775C7B">
            <w:pPr>
              <w:rPr>
                <w:b/>
                <w:color w:val="000000"/>
                <w:lang w:val="en-US" w:eastAsia="en-US"/>
              </w:rPr>
            </w:pPr>
          </w:p>
          <w:p w14:paraId="17E45360" w14:textId="77777777" w:rsidR="00775C7B" w:rsidRPr="00775C7B" w:rsidRDefault="00775C7B" w:rsidP="00775C7B">
            <w:pPr>
              <w:rPr>
                <w:b/>
                <w:color w:val="000000"/>
                <w:lang w:val="en-US" w:eastAsia="en-US"/>
              </w:rPr>
            </w:pPr>
            <w:r w:rsidRPr="00775C7B">
              <w:rPr>
                <w:b/>
                <w:color w:val="000000"/>
                <w:lang w:val="en-US" w:eastAsia="en-US"/>
              </w:rPr>
              <w:t>How do we identify and classify different 2D shapes?</w:t>
            </w:r>
          </w:p>
          <w:p w14:paraId="2D5F57F4" w14:textId="77777777" w:rsidR="00775C7B" w:rsidRPr="00775C7B" w:rsidRDefault="00775C7B" w:rsidP="00775C7B">
            <w:pPr>
              <w:pStyle w:val="SOFinalContentTableBullets"/>
              <w:rPr>
                <w:color w:val="auto"/>
              </w:rPr>
            </w:pPr>
            <w:r w:rsidRPr="00775C7B">
              <w:rPr>
                <w:color w:val="auto"/>
              </w:rPr>
              <w:t xml:space="preserve">naming of 2D shapes </w:t>
            </w:r>
          </w:p>
          <w:p w14:paraId="3DBDE975" w14:textId="77777777" w:rsidR="00775C7B" w:rsidRPr="00775C7B" w:rsidRDefault="00775C7B" w:rsidP="00775C7B">
            <w:pPr>
              <w:pStyle w:val="SOFinalContentTableBullets"/>
              <w:rPr>
                <w:color w:val="auto"/>
              </w:rPr>
            </w:pPr>
            <w:r w:rsidRPr="00775C7B">
              <w:rPr>
                <w:color w:val="auto"/>
              </w:rPr>
              <w:t>classification of shape as regular or irregular</w:t>
            </w:r>
          </w:p>
          <w:p w14:paraId="39B201B9" w14:textId="77777777" w:rsidR="00775C7B" w:rsidRPr="00775C7B" w:rsidRDefault="00775C7B" w:rsidP="00775C7B">
            <w:pPr>
              <w:pStyle w:val="SOFinalContentTableBullets"/>
              <w:rPr>
                <w:color w:val="auto"/>
              </w:rPr>
            </w:pPr>
            <w:r w:rsidRPr="00775C7B">
              <w:rPr>
                <w:color w:val="auto"/>
              </w:rPr>
              <w:t>classification and naming of different triangles (e.g. equilateral, isosceles, scalene, right-angled)</w:t>
            </w:r>
          </w:p>
          <w:p w14:paraId="7CF8F656" w14:textId="77777777" w:rsidR="00775C7B" w:rsidRPr="00775C7B" w:rsidRDefault="00775C7B" w:rsidP="00775C7B">
            <w:pPr>
              <w:pStyle w:val="SOFinalContentTableBullets"/>
            </w:pPr>
            <w:r w:rsidRPr="00775C7B">
              <w:rPr>
                <w:color w:val="auto"/>
              </w:rPr>
              <w:t>naming</w:t>
            </w:r>
            <w:r w:rsidRPr="00775C7B">
              <w:t xml:space="preserve"> of different representations of circles (e.g. semicircle and sector)</w:t>
            </w:r>
          </w:p>
          <w:p w14:paraId="760F432A" w14:textId="77777777" w:rsidR="00775C7B" w:rsidRDefault="00775C7B" w:rsidP="009221AB"/>
        </w:tc>
        <w:tc>
          <w:tcPr>
            <w:tcW w:w="4252" w:type="dxa"/>
          </w:tcPr>
          <w:p w14:paraId="4290A143" w14:textId="77777777" w:rsidR="00CE3ABD" w:rsidRDefault="00CE3ABD" w:rsidP="00775C7B"/>
          <w:p w14:paraId="41875CAF" w14:textId="77777777" w:rsidR="00775C7B" w:rsidRDefault="00775C7B" w:rsidP="00CE3ABD"/>
        </w:tc>
      </w:tr>
      <w:tr w:rsidR="003A25DD" w14:paraId="3316CC0B" w14:textId="77777777" w:rsidTr="00B66B73">
        <w:tc>
          <w:tcPr>
            <w:tcW w:w="2638" w:type="dxa"/>
            <w:vMerge/>
          </w:tcPr>
          <w:p w14:paraId="4AAFFE8D" w14:textId="77777777" w:rsidR="00775C7B" w:rsidRDefault="00775C7B" w:rsidP="009221AB"/>
        </w:tc>
        <w:tc>
          <w:tcPr>
            <w:tcW w:w="2857" w:type="dxa"/>
          </w:tcPr>
          <w:p w14:paraId="5CC54555" w14:textId="77777777" w:rsidR="00CE3ABD" w:rsidRDefault="00CE3ABD" w:rsidP="00775C7B">
            <w:pPr>
              <w:rPr>
                <w:b/>
                <w:color w:val="000000"/>
                <w:lang w:val="en-US" w:eastAsia="en-US"/>
              </w:rPr>
            </w:pPr>
          </w:p>
          <w:p w14:paraId="1701B894" w14:textId="77777777" w:rsidR="00775C7B" w:rsidRPr="00775C7B" w:rsidRDefault="00775C7B" w:rsidP="00775C7B">
            <w:pPr>
              <w:rPr>
                <w:b/>
                <w:color w:val="000000"/>
                <w:lang w:val="en-US" w:eastAsia="en-US"/>
              </w:rPr>
            </w:pPr>
            <w:r w:rsidRPr="00775C7B">
              <w:rPr>
                <w:b/>
                <w:color w:val="000000"/>
                <w:lang w:val="en-US" w:eastAsia="en-US"/>
              </w:rPr>
              <w:t>How do we identify and classify different 3D shapes?</w:t>
            </w:r>
          </w:p>
          <w:p w14:paraId="3812D26B" w14:textId="77777777" w:rsidR="00775C7B" w:rsidRPr="00775C7B" w:rsidRDefault="00775C7B" w:rsidP="00775C7B">
            <w:pPr>
              <w:pStyle w:val="SOFinalContentTableBullets"/>
              <w:rPr>
                <w:color w:val="auto"/>
              </w:rPr>
            </w:pPr>
            <w:r w:rsidRPr="00775C7B">
              <w:rPr>
                <w:color w:val="auto"/>
              </w:rPr>
              <w:t xml:space="preserve">naming of 3D shapes </w:t>
            </w:r>
          </w:p>
          <w:p w14:paraId="451F25BE" w14:textId="77777777" w:rsidR="00775C7B" w:rsidRPr="00775C7B" w:rsidRDefault="00775C7B" w:rsidP="00775C7B">
            <w:pPr>
              <w:pStyle w:val="SOFinalContentTableBullets"/>
              <w:rPr>
                <w:color w:val="auto"/>
              </w:rPr>
            </w:pPr>
            <w:r w:rsidRPr="00775C7B">
              <w:rPr>
                <w:color w:val="auto"/>
              </w:rPr>
              <w:t>classification of 3D shapes (e.g. prisms, pyramids, sphere, cone)</w:t>
            </w:r>
          </w:p>
          <w:p w14:paraId="56F7BFD1" w14:textId="77777777" w:rsidR="00775C7B" w:rsidRPr="00775C7B" w:rsidRDefault="00775C7B" w:rsidP="00775C7B">
            <w:pPr>
              <w:pStyle w:val="SOFinalContentTableBullets"/>
              <w:rPr>
                <w:color w:val="auto"/>
              </w:rPr>
            </w:pPr>
            <w:r w:rsidRPr="00775C7B">
              <w:rPr>
                <w:color w:val="auto"/>
              </w:rPr>
              <w:t>properties of prisms</w:t>
            </w:r>
          </w:p>
          <w:p w14:paraId="79868DF0" w14:textId="77777777" w:rsidR="00775C7B" w:rsidRPr="00775C7B" w:rsidRDefault="00775C7B" w:rsidP="00775C7B">
            <w:pPr>
              <w:pStyle w:val="SOFinalContentTableBullets"/>
              <w:rPr>
                <w:color w:val="auto"/>
              </w:rPr>
            </w:pPr>
            <w:r w:rsidRPr="00775C7B">
              <w:rPr>
                <w:color w:val="auto"/>
              </w:rPr>
              <w:t>properties of pyramids</w:t>
            </w:r>
          </w:p>
        </w:tc>
        <w:tc>
          <w:tcPr>
            <w:tcW w:w="4252" w:type="dxa"/>
          </w:tcPr>
          <w:p w14:paraId="3A00284C" w14:textId="77777777" w:rsidR="00775C7B" w:rsidRDefault="00775C7B" w:rsidP="00CE3ABD"/>
        </w:tc>
      </w:tr>
      <w:tr w:rsidR="00CE3ABD" w14:paraId="6696B748" w14:textId="77777777" w:rsidTr="00B66B73">
        <w:tc>
          <w:tcPr>
            <w:tcW w:w="2638" w:type="dxa"/>
            <w:vMerge w:val="restart"/>
          </w:tcPr>
          <w:p w14:paraId="0C9E9312" w14:textId="77777777" w:rsidR="00CE3ABD" w:rsidRPr="00775C7B" w:rsidRDefault="00CE3ABD" w:rsidP="00BC6216">
            <w:pPr>
              <w:spacing w:before="240"/>
              <w:rPr>
                <w:b/>
              </w:rPr>
            </w:pPr>
            <w:r w:rsidRPr="00775C7B">
              <w:rPr>
                <w:b/>
              </w:rPr>
              <w:t>3.3: Geometry and Construction</w:t>
            </w:r>
          </w:p>
        </w:tc>
        <w:tc>
          <w:tcPr>
            <w:tcW w:w="2857" w:type="dxa"/>
          </w:tcPr>
          <w:p w14:paraId="3A7CE18C" w14:textId="77777777" w:rsidR="00CE3ABD" w:rsidRDefault="00CE3ABD" w:rsidP="00775C7B">
            <w:pPr>
              <w:rPr>
                <w:b/>
                <w:color w:val="000000"/>
                <w:lang w:val="en-US" w:eastAsia="en-US"/>
              </w:rPr>
            </w:pPr>
          </w:p>
          <w:p w14:paraId="63E580B0" w14:textId="77777777" w:rsidR="00CE3ABD" w:rsidRPr="00775C7B" w:rsidRDefault="00CE3ABD" w:rsidP="00775C7B">
            <w:pPr>
              <w:rPr>
                <w:color w:val="000000"/>
                <w:lang w:val="en-US" w:eastAsia="en-US"/>
              </w:rPr>
            </w:pPr>
            <w:r w:rsidRPr="00775C7B">
              <w:rPr>
                <w:b/>
                <w:color w:val="000000"/>
                <w:lang w:val="en-US" w:eastAsia="en-US"/>
              </w:rPr>
              <w:t>How do we use mathematical equipment to construct geometrical figures?</w:t>
            </w:r>
          </w:p>
          <w:p w14:paraId="7686CF0E" w14:textId="77777777" w:rsidR="00CE3ABD" w:rsidRPr="00775C7B" w:rsidRDefault="00CE3ABD" w:rsidP="00775C7B">
            <w:pPr>
              <w:pStyle w:val="SOFinalContentTableBullets"/>
              <w:rPr>
                <w:color w:val="auto"/>
              </w:rPr>
            </w:pPr>
            <w:r w:rsidRPr="00775C7B">
              <w:rPr>
                <w:color w:val="auto"/>
              </w:rPr>
              <w:t>construction techniques for lines</w:t>
            </w:r>
          </w:p>
          <w:p w14:paraId="2CC2343D" w14:textId="77777777" w:rsidR="00CE3ABD" w:rsidRPr="00775C7B" w:rsidRDefault="00CE3ABD" w:rsidP="00775C7B">
            <w:pPr>
              <w:pStyle w:val="SOFinalContentTableBullets"/>
              <w:rPr>
                <w:color w:val="auto"/>
              </w:rPr>
            </w:pPr>
            <w:r w:rsidRPr="00775C7B">
              <w:rPr>
                <w:color w:val="auto"/>
              </w:rPr>
              <w:t>construction techniques for angles</w:t>
            </w:r>
          </w:p>
          <w:p w14:paraId="315ACE38" w14:textId="77777777" w:rsidR="00CE3ABD" w:rsidRDefault="00CE3ABD" w:rsidP="009221AB"/>
        </w:tc>
        <w:tc>
          <w:tcPr>
            <w:tcW w:w="4252" w:type="dxa"/>
            <w:vMerge w:val="restart"/>
          </w:tcPr>
          <w:p w14:paraId="03A60DD1" w14:textId="77777777" w:rsidR="00CE3ABD" w:rsidRPr="00CE3ABD" w:rsidRDefault="00CE3ABD" w:rsidP="00FD5E79">
            <w:pPr>
              <w:spacing w:before="120"/>
              <w:rPr>
                <w:b/>
              </w:rPr>
            </w:pPr>
            <w:r w:rsidRPr="00CE3ABD">
              <w:rPr>
                <w:b/>
              </w:rPr>
              <w:t>Skills and Applications Task 2</w:t>
            </w:r>
          </w:p>
          <w:p w14:paraId="146CCBBE" w14:textId="77777777" w:rsidR="00CE3ABD" w:rsidRDefault="00CE3ABD" w:rsidP="009221AB"/>
          <w:p w14:paraId="2CD0F012" w14:textId="77777777" w:rsidR="00CE3ABD" w:rsidRDefault="00CE3ABD" w:rsidP="001E2AD5">
            <w:r>
              <w:t xml:space="preserve">Accessing the </w:t>
            </w:r>
            <w:r w:rsidRPr="001E2AD5">
              <w:t xml:space="preserve">Maths Open Reference </w:t>
            </w:r>
            <w:r>
              <w:t>web</w:t>
            </w:r>
            <w:r w:rsidR="001E2AD5">
              <w:t>site at the following hyperlink</w:t>
            </w:r>
            <w:r>
              <w:t xml:space="preserve"> </w:t>
            </w:r>
            <w:hyperlink r:id="rId12" w:history="1">
              <w:r w:rsidRPr="00924966">
                <w:rPr>
                  <w:rStyle w:val="Hyperlink"/>
                </w:rPr>
                <w:t>www.mathopenref.com/constructions.html</w:t>
              </w:r>
            </w:hyperlink>
            <w:r w:rsidRPr="00CE3ABD">
              <w:rPr>
                <w:rStyle w:val="Hyperlink"/>
                <w:u w:val="none"/>
              </w:rPr>
              <w:t xml:space="preserve"> </w:t>
            </w:r>
            <w:r w:rsidR="001E2AD5">
              <w:rPr>
                <w:rStyle w:val="Hyperlink"/>
                <w:u w:val="none"/>
              </w:rPr>
              <w:t>,</w:t>
            </w:r>
            <w:r w:rsidRPr="00CE3ABD">
              <w:rPr>
                <w:rStyle w:val="Hyperlink"/>
                <w:u w:val="none"/>
              </w:rPr>
              <w:t xml:space="preserve"> </w:t>
            </w:r>
            <w:r>
              <w:t>students complete a set of constructions leaving construction marks in place as evidence of technique. This will be provided to students as an assignment style task in which students complete the constructions at their own pace.</w:t>
            </w:r>
          </w:p>
        </w:tc>
      </w:tr>
      <w:tr w:rsidR="00CE3ABD" w14:paraId="65D7EB0B" w14:textId="77777777" w:rsidTr="00B66B73">
        <w:trPr>
          <w:trHeight w:val="2930"/>
        </w:trPr>
        <w:tc>
          <w:tcPr>
            <w:tcW w:w="2638" w:type="dxa"/>
            <w:vMerge/>
          </w:tcPr>
          <w:p w14:paraId="3F022FB4" w14:textId="77777777" w:rsidR="00CE3ABD" w:rsidRDefault="00CE3ABD" w:rsidP="009221AB"/>
        </w:tc>
        <w:tc>
          <w:tcPr>
            <w:tcW w:w="2857" w:type="dxa"/>
          </w:tcPr>
          <w:p w14:paraId="51ECF178" w14:textId="77777777" w:rsidR="00CE3ABD" w:rsidRDefault="00CE3ABD" w:rsidP="00775C7B">
            <w:pPr>
              <w:rPr>
                <w:b/>
                <w:color w:val="000000"/>
                <w:lang w:val="en-US" w:eastAsia="en-US"/>
              </w:rPr>
            </w:pPr>
          </w:p>
          <w:p w14:paraId="09F863B6" w14:textId="77777777" w:rsidR="00CE3ABD" w:rsidRPr="00775C7B" w:rsidRDefault="00CE3ABD" w:rsidP="00775C7B">
            <w:pPr>
              <w:rPr>
                <w:b/>
                <w:color w:val="000000"/>
                <w:lang w:val="en-US" w:eastAsia="en-US"/>
              </w:rPr>
            </w:pPr>
            <w:r w:rsidRPr="00775C7B">
              <w:rPr>
                <w:b/>
                <w:color w:val="000000"/>
                <w:lang w:val="en-US" w:eastAsia="en-US"/>
              </w:rPr>
              <w:t>How do we use mathematical equipment to construct geometrical shapes?</w:t>
            </w:r>
          </w:p>
          <w:p w14:paraId="1915EBCD" w14:textId="77777777" w:rsidR="00CE3ABD" w:rsidRPr="00775C7B" w:rsidRDefault="00CE3ABD" w:rsidP="00775C7B">
            <w:pPr>
              <w:pStyle w:val="SOFinalContentTableBullets"/>
              <w:rPr>
                <w:color w:val="auto"/>
              </w:rPr>
            </w:pPr>
            <w:r w:rsidRPr="00775C7B">
              <w:rPr>
                <w:color w:val="auto"/>
              </w:rPr>
              <w:t>construction of triangles (e.g. equilateral, isosceles, scalene, right-angled)</w:t>
            </w:r>
          </w:p>
          <w:p w14:paraId="7903D12A" w14:textId="77777777" w:rsidR="00CE3ABD" w:rsidRPr="00775C7B" w:rsidRDefault="00CE3ABD" w:rsidP="00775C7B">
            <w:pPr>
              <w:pStyle w:val="SOFinalContentTableBullets"/>
              <w:rPr>
                <w:color w:val="auto"/>
              </w:rPr>
            </w:pPr>
            <w:r w:rsidRPr="00775C7B">
              <w:rPr>
                <w:color w:val="auto"/>
              </w:rPr>
              <w:t>constructions involving circles</w:t>
            </w:r>
          </w:p>
          <w:p w14:paraId="227C3338" w14:textId="77777777" w:rsidR="00CE3ABD" w:rsidRDefault="00CE3ABD" w:rsidP="00775C7B">
            <w:pPr>
              <w:pStyle w:val="SOFinalContentTableBullets"/>
            </w:pPr>
            <w:r w:rsidRPr="00775C7B">
              <w:rPr>
                <w:color w:val="auto"/>
              </w:rPr>
              <w:t>construction of a variety of polygons</w:t>
            </w:r>
          </w:p>
        </w:tc>
        <w:tc>
          <w:tcPr>
            <w:tcW w:w="4252" w:type="dxa"/>
            <w:vMerge/>
          </w:tcPr>
          <w:p w14:paraId="11C5A1AB" w14:textId="77777777" w:rsidR="00CE3ABD" w:rsidRDefault="00CE3ABD" w:rsidP="009221AB"/>
        </w:tc>
      </w:tr>
    </w:tbl>
    <w:p w14:paraId="2761019B" w14:textId="77777777" w:rsidR="005A7A9D" w:rsidRDefault="005A7A9D"/>
    <w:sectPr w:rsidR="005A7A9D" w:rsidSect="00EC61E8">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58B68" w14:textId="77777777" w:rsidR="0097226D" w:rsidRDefault="0097226D" w:rsidP="00C07AC1">
      <w:r>
        <w:separator/>
      </w:r>
    </w:p>
  </w:endnote>
  <w:endnote w:type="continuationSeparator" w:id="0">
    <w:p w14:paraId="6F5F2CF6" w14:textId="77777777" w:rsidR="0097226D" w:rsidRDefault="0097226D" w:rsidP="00C07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29F8B" w14:textId="77777777" w:rsidR="00225285" w:rsidRDefault="002252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C7AE9" w14:textId="77777777" w:rsidR="006F0785" w:rsidRDefault="006F0785" w:rsidP="006F0785">
    <w:pPr>
      <w:rPr>
        <w:rFonts w:cs="Arial"/>
        <w:szCs w:val="22"/>
        <w:lang w:val="en-US"/>
      </w:rPr>
    </w:pPr>
  </w:p>
  <w:p w14:paraId="1C0408D9" w14:textId="77777777" w:rsidR="006F0785" w:rsidRDefault="006F0785" w:rsidP="00EC61E8">
    <w:pPr>
      <w:tabs>
        <w:tab w:val="right" w:pos="8789"/>
        <w:tab w:val="right" w:pos="10204"/>
      </w:tabs>
      <w:rPr>
        <w:rFonts w:cs="Arial"/>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EC61E8">
      <w:rPr>
        <w:noProof/>
        <w:sz w:val="18"/>
        <w:szCs w:val="18"/>
      </w:rPr>
      <w:t>3</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EC61E8">
      <w:rPr>
        <w:noProof/>
        <w:sz w:val="18"/>
        <w:szCs w:val="18"/>
      </w:rPr>
      <w:t>4</w:t>
    </w:r>
    <w:r>
      <w:rPr>
        <w:sz w:val="18"/>
        <w:szCs w:val="18"/>
      </w:rPr>
      <w:fldChar w:fldCharType="end"/>
    </w:r>
    <w:r>
      <w:rPr>
        <w:sz w:val="18"/>
        <w:szCs w:val="18"/>
      </w:rPr>
      <w:tab/>
    </w:r>
    <w:r w:rsidRPr="00FA09AD">
      <w:rPr>
        <w:sz w:val="16"/>
        <w:szCs w:val="16"/>
      </w:rPr>
      <w:t xml:space="preserve">Stage 1 </w:t>
    </w:r>
    <w:r>
      <w:rPr>
        <w:sz w:val="16"/>
        <w:szCs w:val="16"/>
      </w:rPr>
      <w:t xml:space="preserve">Essential Mathematics – </w:t>
    </w:r>
    <w:r w:rsidR="00EC61E8">
      <w:rPr>
        <w:sz w:val="16"/>
        <w:szCs w:val="16"/>
      </w:rPr>
      <w:t>program 1 – nu</w:t>
    </w:r>
    <w:r>
      <w:rPr>
        <w:sz w:val="16"/>
        <w:szCs w:val="16"/>
      </w:rPr>
      <w:t xml:space="preserve">meracy focus </w:t>
    </w:r>
  </w:p>
  <w:p w14:paraId="61D43C41" w14:textId="71EB097A" w:rsidR="006F0785" w:rsidRDefault="006F0785" w:rsidP="006F0785">
    <w:pPr>
      <w:pStyle w:val="LAPFooter"/>
      <w:tabs>
        <w:tab w:val="clear" w:pos="9639"/>
        <w:tab w:val="right" w:pos="8789"/>
        <w:tab w:val="right" w:pos="10206"/>
      </w:tabs>
    </w:pPr>
    <w:r>
      <w:tab/>
      <w:t>Ref: A</w:t>
    </w:r>
    <w:r w:rsidR="00225285">
      <w:t>1447249</w:t>
    </w:r>
    <w:r>
      <w:t xml:space="preserve"> (</w:t>
    </w:r>
    <w:r w:rsidR="00225285">
      <w:t>updated November 2025</w:t>
    </w:r>
    <w:r>
      <w:t>)</w:t>
    </w:r>
  </w:p>
  <w:p w14:paraId="26187822" w14:textId="77777777" w:rsidR="006F0785" w:rsidRDefault="006F0785" w:rsidP="006F0785">
    <w:pPr>
      <w:pStyle w:val="LAPFooter"/>
      <w:tabs>
        <w:tab w:val="clear" w:pos="9639"/>
        <w:tab w:val="right" w:pos="8789"/>
        <w:tab w:val="right" w:pos="10206"/>
      </w:tabs>
    </w:pPr>
    <w:r>
      <w:tab/>
      <w:t>© SACE Board of South Australia 2015</w:t>
    </w:r>
  </w:p>
  <w:p w14:paraId="13C5871F" w14:textId="77777777" w:rsidR="00FD7C33" w:rsidRPr="006F0785" w:rsidRDefault="00FD7C33" w:rsidP="006F0785">
    <w:pPr>
      <w:pStyle w:val="Footer"/>
      <w:tabs>
        <w:tab w:val="clear" w:pos="9026"/>
        <w:tab w:val="right" w:pos="8789"/>
      </w:tabs>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6004A" w14:textId="77777777" w:rsidR="00225285" w:rsidRDefault="002252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8B960" w14:textId="77777777" w:rsidR="0097226D" w:rsidRDefault="0097226D" w:rsidP="00C07AC1">
      <w:r>
        <w:separator/>
      </w:r>
    </w:p>
  </w:footnote>
  <w:footnote w:type="continuationSeparator" w:id="0">
    <w:p w14:paraId="3EB3B0FA" w14:textId="77777777" w:rsidR="0097226D" w:rsidRDefault="0097226D" w:rsidP="00C07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279A6" w14:textId="77777777" w:rsidR="00225285" w:rsidRDefault="002252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EE5C4" w14:textId="77777777" w:rsidR="00225285" w:rsidRDefault="002252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52EC7" w14:textId="77777777" w:rsidR="00225285" w:rsidRDefault="002252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754E"/>
    <w:multiLevelType w:val="hybridMultilevel"/>
    <w:tmpl w:val="E0B0530C"/>
    <w:lvl w:ilvl="0" w:tplc="426A6546">
      <w:start w:val="1"/>
      <w:numFmt w:val="bullet"/>
      <w:pStyle w:val="SOFinalContentTableBullets"/>
      <w:lvlText w:val=""/>
      <w:lvlJc w:val="left"/>
      <w:pPr>
        <w:tabs>
          <w:tab w:val="num" w:pos="170"/>
        </w:tabs>
        <w:ind w:left="170" w:hanging="170"/>
      </w:pPr>
      <w:rPr>
        <w:rFonts w:ascii="Symbol" w:hAnsi="Symbol"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B66821"/>
    <w:multiLevelType w:val="hybridMultilevel"/>
    <w:tmpl w:val="8D3476FA"/>
    <w:lvl w:ilvl="0" w:tplc="D72AE1A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40C2661"/>
    <w:multiLevelType w:val="hybridMultilevel"/>
    <w:tmpl w:val="39A2845A"/>
    <w:lvl w:ilvl="0" w:tplc="96E2E620">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3391C3A"/>
    <w:multiLevelType w:val="hybridMultilevel"/>
    <w:tmpl w:val="2C342A8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DEA3B49"/>
    <w:multiLevelType w:val="hybridMultilevel"/>
    <w:tmpl w:val="D99E1354"/>
    <w:lvl w:ilvl="0" w:tplc="96E2E620">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75432000">
    <w:abstractNumId w:val="3"/>
  </w:num>
  <w:num w:numId="2" w16cid:durableId="1377661351">
    <w:abstractNumId w:val="1"/>
  </w:num>
  <w:num w:numId="3" w16cid:durableId="1888250167">
    <w:abstractNumId w:val="0"/>
  </w:num>
  <w:num w:numId="4" w16cid:durableId="1956673002">
    <w:abstractNumId w:val="0"/>
  </w:num>
  <w:num w:numId="5" w16cid:durableId="688529464">
    <w:abstractNumId w:val="0"/>
  </w:num>
  <w:num w:numId="6" w16cid:durableId="31926800">
    <w:abstractNumId w:val="4"/>
  </w:num>
  <w:num w:numId="7" w16cid:durableId="1083718944">
    <w:abstractNumId w:val="0"/>
  </w:num>
  <w:num w:numId="8" w16cid:durableId="642464842">
    <w:abstractNumId w:val="0"/>
  </w:num>
  <w:num w:numId="9" w16cid:durableId="1769734855">
    <w:abstractNumId w:val="0"/>
  </w:num>
  <w:num w:numId="10" w16cid:durableId="311452816">
    <w:abstractNumId w:val="0"/>
  </w:num>
  <w:num w:numId="11" w16cid:durableId="173031548">
    <w:abstractNumId w:val="0"/>
  </w:num>
  <w:num w:numId="12" w16cid:durableId="965889144">
    <w:abstractNumId w:val="0"/>
  </w:num>
  <w:num w:numId="13" w16cid:durableId="1177385892">
    <w:abstractNumId w:val="0"/>
  </w:num>
  <w:num w:numId="14" w16cid:durableId="1373115337">
    <w:abstractNumId w:val="0"/>
  </w:num>
  <w:num w:numId="15" w16cid:durableId="1670408128">
    <w:abstractNumId w:val="2"/>
  </w:num>
  <w:num w:numId="16" w16cid:durableId="1513226503">
    <w:abstractNumId w:val="0"/>
  </w:num>
  <w:num w:numId="17" w16cid:durableId="2125537495">
    <w:abstractNumId w:val="0"/>
  </w:num>
  <w:num w:numId="18" w16cid:durableId="499856172">
    <w:abstractNumId w:val="0"/>
  </w:num>
  <w:num w:numId="19" w16cid:durableId="1011877894">
    <w:abstractNumId w:val="0"/>
  </w:num>
  <w:num w:numId="20" w16cid:durableId="1549150282">
    <w:abstractNumId w:val="0"/>
  </w:num>
  <w:num w:numId="21" w16cid:durableId="993266713">
    <w:abstractNumId w:val="0"/>
  </w:num>
  <w:num w:numId="22" w16cid:durableId="2139446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7A9D"/>
    <w:rsid w:val="000F0E51"/>
    <w:rsid w:val="00115D1D"/>
    <w:rsid w:val="00155D51"/>
    <w:rsid w:val="001B582D"/>
    <w:rsid w:val="001E2AD5"/>
    <w:rsid w:val="00225285"/>
    <w:rsid w:val="002348F2"/>
    <w:rsid w:val="002E0C2A"/>
    <w:rsid w:val="002E7018"/>
    <w:rsid w:val="00361F43"/>
    <w:rsid w:val="003A25DD"/>
    <w:rsid w:val="003A2F88"/>
    <w:rsid w:val="003D481B"/>
    <w:rsid w:val="003F0050"/>
    <w:rsid w:val="00407C8F"/>
    <w:rsid w:val="00442A1E"/>
    <w:rsid w:val="00445CC7"/>
    <w:rsid w:val="004D0DA7"/>
    <w:rsid w:val="0052557E"/>
    <w:rsid w:val="00532217"/>
    <w:rsid w:val="00574714"/>
    <w:rsid w:val="00580AEA"/>
    <w:rsid w:val="005A7A9D"/>
    <w:rsid w:val="005B19CD"/>
    <w:rsid w:val="005D4B14"/>
    <w:rsid w:val="0061507E"/>
    <w:rsid w:val="006F0785"/>
    <w:rsid w:val="0070529A"/>
    <w:rsid w:val="00773DE5"/>
    <w:rsid w:val="00775C7B"/>
    <w:rsid w:val="0078216A"/>
    <w:rsid w:val="00894C99"/>
    <w:rsid w:val="00897E06"/>
    <w:rsid w:val="008D6927"/>
    <w:rsid w:val="008E3AE1"/>
    <w:rsid w:val="008F4265"/>
    <w:rsid w:val="00941547"/>
    <w:rsid w:val="00956390"/>
    <w:rsid w:val="0097226D"/>
    <w:rsid w:val="009A2799"/>
    <w:rsid w:val="009B4877"/>
    <w:rsid w:val="009C61F4"/>
    <w:rsid w:val="00A13737"/>
    <w:rsid w:val="00A70617"/>
    <w:rsid w:val="00A80F99"/>
    <w:rsid w:val="00A823E2"/>
    <w:rsid w:val="00B20D8D"/>
    <w:rsid w:val="00B312EE"/>
    <w:rsid w:val="00B60156"/>
    <w:rsid w:val="00B66B73"/>
    <w:rsid w:val="00B76902"/>
    <w:rsid w:val="00BC6216"/>
    <w:rsid w:val="00BE7713"/>
    <w:rsid w:val="00C05776"/>
    <w:rsid w:val="00C07AC1"/>
    <w:rsid w:val="00C96891"/>
    <w:rsid w:val="00C97E3D"/>
    <w:rsid w:val="00CB0A75"/>
    <w:rsid w:val="00CE3ABD"/>
    <w:rsid w:val="00DC2D99"/>
    <w:rsid w:val="00DD0C43"/>
    <w:rsid w:val="00E03E67"/>
    <w:rsid w:val="00E04BC4"/>
    <w:rsid w:val="00E33CFD"/>
    <w:rsid w:val="00E93177"/>
    <w:rsid w:val="00EB08C4"/>
    <w:rsid w:val="00EB2926"/>
    <w:rsid w:val="00EC5966"/>
    <w:rsid w:val="00EC61E8"/>
    <w:rsid w:val="00ED71AE"/>
    <w:rsid w:val="00F010B5"/>
    <w:rsid w:val="00F26233"/>
    <w:rsid w:val="00F9162F"/>
    <w:rsid w:val="00FA7DD6"/>
    <w:rsid w:val="00FC5104"/>
    <w:rsid w:val="00FD5E79"/>
    <w:rsid w:val="00FD7C3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15993"/>
  <w15:docId w15:val="{98A77060-10E4-4666-9E40-0F8DAB970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9D"/>
    <w:pPr>
      <w:spacing w:after="0" w:line="240" w:lineRule="auto"/>
    </w:pPr>
    <w:rPr>
      <w:rFonts w:ascii="Arial" w:eastAsia="Times New Roman" w:hAnsi="Arial" w:cs="Times New Roman"/>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7A9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7A9D"/>
    <w:pPr>
      <w:ind w:left="720" w:hanging="357"/>
      <w:contextualSpacing/>
    </w:pPr>
    <w:rPr>
      <w:rFonts w:ascii="Calibri" w:hAnsi="Calibri"/>
      <w:szCs w:val="22"/>
      <w:lang w:eastAsia="en-US"/>
    </w:rPr>
  </w:style>
  <w:style w:type="paragraph" w:customStyle="1" w:styleId="SOFinalContentTableText">
    <w:name w:val="SO Final Content Table Text"/>
    <w:link w:val="SOFinalContentTableTextChar"/>
    <w:rsid w:val="005A7A9D"/>
    <w:pPr>
      <w:spacing w:after="0" w:line="240" w:lineRule="auto"/>
    </w:pPr>
    <w:rPr>
      <w:rFonts w:ascii="Arial" w:eastAsia="Times New Roman" w:hAnsi="Arial" w:cs="Times New Roman"/>
      <w:color w:val="000000"/>
      <w:sz w:val="20"/>
      <w:szCs w:val="24"/>
      <w:lang w:val="en-US"/>
    </w:rPr>
  </w:style>
  <w:style w:type="character" w:customStyle="1" w:styleId="SOFinalContentTableTextChar">
    <w:name w:val="SO Final Content Table Text Char"/>
    <w:link w:val="SOFinalContentTableText"/>
    <w:rsid w:val="005A7A9D"/>
    <w:rPr>
      <w:rFonts w:ascii="Arial" w:eastAsia="Times New Roman" w:hAnsi="Arial" w:cs="Times New Roman"/>
      <w:color w:val="000000"/>
      <w:sz w:val="20"/>
      <w:szCs w:val="24"/>
      <w:lang w:val="en-US"/>
    </w:rPr>
  </w:style>
  <w:style w:type="paragraph" w:customStyle="1" w:styleId="SOFinalContentTableBullets">
    <w:name w:val="SO Final Content Table Bullets"/>
    <w:link w:val="SOFinalContentTableBulletsChar"/>
    <w:rsid w:val="005A7A9D"/>
    <w:pPr>
      <w:numPr>
        <w:numId w:val="3"/>
      </w:numPr>
      <w:spacing w:before="40" w:after="40" w:line="240" w:lineRule="auto"/>
    </w:pPr>
    <w:rPr>
      <w:rFonts w:ascii="Arial" w:eastAsia="MS Mincho" w:hAnsi="Arial" w:cs="Arial"/>
      <w:color w:val="000000"/>
      <w:sz w:val="20"/>
      <w:szCs w:val="24"/>
      <w:lang w:val="en-US"/>
    </w:rPr>
  </w:style>
  <w:style w:type="character" w:customStyle="1" w:styleId="SOFinalContentTableBulletsChar">
    <w:name w:val="SO Final Content Table Bullets Char"/>
    <w:link w:val="SOFinalContentTableBullets"/>
    <w:rsid w:val="005A7A9D"/>
    <w:rPr>
      <w:rFonts w:ascii="Arial" w:eastAsia="MS Mincho" w:hAnsi="Arial" w:cs="Arial"/>
      <w:color w:val="000000"/>
      <w:sz w:val="20"/>
      <w:szCs w:val="24"/>
      <w:lang w:val="en-US"/>
    </w:rPr>
  </w:style>
  <w:style w:type="paragraph" w:styleId="EndnoteText">
    <w:name w:val="endnote text"/>
    <w:basedOn w:val="Normal"/>
    <w:link w:val="EndnoteTextChar"/>
    <w:uiPriority w:val="99"/>
    <w:semiHidden/>
    <w:unhideWhenUsed/>
    <w:rsid w:val="00C07AC1"/>
    <w:rPr>
      <w:sz w:val="20"/>
      <w:szCs w:val="20"/>
    </w:rPr>
  </w:style>
  <w:style w:type="character" w:customStyle="1" w:styleId="EndnoteTextChar">
    <w:name w:val="Endnote Text Char"/>
    <w:basedOn w:val="DefaultParagraphFont"/>
    <w:link w:val="EndnoteText"/>
    <w:uiPriority w:val="99"/>
    <w:semiHidden/>
    <w:rsid w:val="00C07AC1"/>
    <w:rPr>
      <w:rFonts w:ascii="Arial" w:eastAsia="Times New Roman" w:hAnsi="Arial" w:cs="Times New Roman"/>
      <w:sz w:val="20"/>
      <w:szCs w:val="20"/>
      <w:lang w:eastAsia="en-AU"/>
    </w:rPr>
  </w:style>
  <w:style w:type="character" w:styleId="EndnoteReference">
    <w:name w:val="endnote reference"/>
    <w:basedOn w:val="DefaultParagraphFont"/>
    <w:uiPriority w:val="99"/>
    <w:semiHidden/>
    <w:unhideWhenUsed/>
    <w:rsid w:val="00C07AC1"/>
    <w:rPr>
      <w:vertAlign w:val="superscript"/>
    </w:rPr>
  </w:style>
  <w:style w:type="character" w:styleId="Hyperlink">
    <w:name w:val="Hyperlink"/>
    <w:basedOn w:val="DefaultParagraphFont"/>
    <w:rsid w:val="003A25DD"/>
    <w:rPr>
      <w:color w:val="0000FF" w:themeColor="hyperlink"/>
      <w:u w:val="single"/>
    </w:rPr>
  </w:style>
  <w:style w:type="character" w:styleId="CommentReference">
    <w:name w:val="annotation reference"/>
    <w:basedOn w:val="DefaultParagraphFont"/>
    <w:uiPriority w:val="99"/>
    <w:semiHidden/>
    <w:unhideWhenUsed/>
    <w:rsid w:val="00F010B5"/>
    <w:rPr>
      <w:sz w:val="16"/>
      <w:szCs w:val="16"/>
    </w:rPr>
  </w:style>
  <w:style w:type="paragraph" w:styleId="CommentText">
    <w:name w:val="annotation text"/>
    <w:basedOn w:val="Normal"/>
    <w:link w:val="CommentTextChar"/>
    <w:uiPriority w:val="99"/>
    <w:semiHidden/>
    <w:unhideWhenUsed/>
    <w:rsid w:val="00F010B5"/>
    <w:rPr>
      <w:sz w:val="20"/>
      <w:szCs w:val="20"/>
    </w:rPr>
  </w:style>
  <w:style w:type="character" w:customStyle="1" w:styleId="CommentTextChar">
    <w:name w:val="Comment Text Char"/>
    <w:basedOn w:val="DefaultParagraphFont"/>
    <w:link w:val="CommentText"/>
    <w:uiPriority w:val="99"/>
    <w:semiHidden/>
    <w:rsid w:val="00F010B5"/>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F010B5"/>
    <w:rPr>
      <w:b/>
      <w:bCs/>
    </w:rPr>
  </w:style>
  <w:style w:type="character" w:customStyle="1" w:styleId="CommentSubjectChar">
    <w:name w:val="Comment Subject Char"/>
    <w:basedOn w:val="CommentTextChar"/>
    <w:link w:val="CommentSubject"/>
    <w:uiPriority w:val="99"/>
    <w:semiHidden/>
    <w:rsid w:val="00F010B5"/>
    <w:rPr>
      <w:rFonts w:ascii="Arial" w:eastAsia="Times New Roman" w:hAnsi="Arial" w:cs="Times New Roman"/>
      <w:b/>
      <w:bCs/>
      <w:sz w:val="20"/>
      <w:szCs w:val="20"/>
      <w:lang w:eastAsia="en-AU"/>
    </w:rPr>
  </w:style>
  <w:style w:type="paragraph" w:styleId="BalloonText">
    <w:name w:val="Balloon Text"/>
    <w:basedOn w:val="Normal"/>
    <w:link w:val="BalloonTextChar"/>
    <w:uiPriority w:val="99"/>
    <w:semiHidden/>
    <w:unhideWhenUsed/>
    <w:rsid w:val="00F010B5"/>
    <w:rPr>
      <w:rFonts w:ascii="Tahoma" w:hAnsi="Tahoma" w:cs="Tahoma"/>
      <w:sz w:val="16"/>
      <w:szCs w:val="16"/>
    </w:rPr>
  </w:style>
  <w:style w:type="character" w:customStyle="1" w:styleId="BalloonTextChar">
    <w:name w:val="Balloon Text Char"/>
    <w:basedOn w:val="DefaultParagraphFont"/>
    <w:link w:val="BalloonText"/>
    <w:uiPriority w:val="99"/>
    <w:semiHidden/>
    <w:rsid w:val="00F010B5"/>
    <w:rPr>
      <w:rFonts w:ascii="Tahoma" w:eastAsia="Times New Roman" w:hAnsi="Tahoma" w:cs="Tahoma"/>
      <w:sz w:val="16"/>
      <w:szCs w:val="16"/>
      <w:lang w:eastAsia="en-AU"/>
    </w:rPr>
  </w:style>
  <w:style w:type="character" w:styleId="FollowedHyperlink">
    <w:name w:val="FollowedHyperlink"/>
    <w:basedOn w:val="DefaultParagraphFont"/>
    <w:uiPriority w:val="99"/>
    <w:semiHidden/>
    <w:unhideWhenUsed/>
    <w:rsid w:val="001E2AD5"/>
    <w:rPr>
      <w:color w:val="800080" w:themeColor="followedHyperlink"/>
      <w:u w:val="single"/>
    </w:rPr>
  </w:style>
  <w:style w:type="paragraph" w:styleId="Header">
    <w:name w:val="header"/>
    <w:basedOn w:val="Normal"/>
    <w:link w:val="HeaderChar"/>
    <w:uiPriority w:val="99"/>
    <w:unhideWhenUsed/>
    <w:rsid w:val="00FD7C33"/>
    <w:pPr>
      <w:tabs>
        <w:tab w:val="center" w:pos="4513"/>
        <w:tab w:val="right" w:pos="9026"/>
      </w:tabs>
    </w:pPr>
  </w:style>
  <w:style w:type="character" w:customStyle="1" w:styleId="HeaderChar">
    <w:name w:val="Header Char"/>
    <w:basedOn w:val="DefaultParagraphFont"/>
    <w:link w:val="Header"/>
    <w:uiPriority w:val="99"/>
    <w:rsid w:val="00FD7C33"/>
    <w:rPr>
      <w:rFonts w:ascii="Arial" w:eastAsia="Times New Roman" w:hAnsi="Arial" w:cs="Times New Roman"/>
      <w:szCs w:val="24"/>
      <w:lang w:eastAsia="en-AU"/>
    </w:rPr>
  </w:style>
  <w:style w:type="paragraph" w:styleId="Footer">
    <w:name w:val="footer"/>
    <w:basedOn w:val="Normal"/>
    <w:link w:val="FooterChar"/>
    <w:uiPriority w:val="99"/>
    <w:unhideWhenUsed/>
    <w:rsid w:val="00FD7C33"/>
    <w:pPr>
      <w:tabs>
        <w:tab w:val="center" w:pos="4513"/>
        <w:tab w:val="right" w:pos="9026"/>
      </w:tabs>
    </w:pPr>
  </w:style>
  <w:style w:type="character" w:customStyle="1" w:styleId="FooterChar">
    <w:name w:val="Footer Char"/>
    <w:basedOn w:val="DefaultParagraphFont"/>
    <w:link w:val="Footer"/>
    <w:uiPriority w:val="99"/>
    <w:rsid w:val="00FD7C33"/>
    <w:rPr>
      <w:rFonts w:ascii="Arial" w:eastAsia="Times New Roman" w:hAnsi="Arial" w:cs="Times New Roman"/>
      <w:szCs w:val="24"/>
      <w:lang w:eastAsia="en-AU"/>
    </w:rPr>
  </w:style>
  <w:style w:type="paragraph" w:customStyle="1" w:styleId="LAPFooter">
    <w:name w:val="LAP Footer"/>
    <w:next w:val="Normal"/>
    <w:qFormat/>
    <w:rsid w:val="006F0785"/>
    <w:pPr>
      <w:tabs>
        <w:tab w:val="right" w:pos="9639"/>
        <w:tab w:val="right" w:pos="14742"/>
      </w:tabs>
      <w:spacing w:after="0" w:line="240" w:lineRule="auto"/>
    </w:pPr>
    <w:rPr>
      <w:rFonts w:ascii="Arial" w:eastAsia="SimSun" w:hAnsi="Arial" w:cs="Arial"/>
      <w:sz w:val="16"/>
      <w:szCs w:val="16"/>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www.mathopenref.com/constructions.html" TargetMode="Externa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customXml" Target="/customXml/item6.xml" Id="R533542e555e74bf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B10A7932EB534F8AEF78845ABA8758" ma:contentTypeVersion="18" ma:contentTypeDescription="Create a new document." ma:contentTypeScope="" ma:versionID="76a21410195509575d4590f67bf5e5af">
  <xsd:schema xmlns:xsd="http://www.w3.org/2001/XMLSchema" xmlns:xs="http://www.w3.org/2001/XMLSchema" xmlns:p="http://schemas.microsoft.com/office/2006/metadata/properties" xmlns:ns2="013bbd5f-90a7-43b7-b1c5-339583c96db7" xmlns:ns3="fb4dc4ba-ff99-4a12-902d-e211d6a52d31" targetNamespace="http://schemas.microsoft.com/office/2006/metadata/properties" ma:root="true" ma:fieldsID="d1c03cf08767374b0af1d18691deed64" ns2:_="" ns3:_="">
    <xsd:import namespace="013bbd5f-90a7-43b7-b1c5-339583c96db7"/>
    <xsd:import namespace="fb4dc4ba-ff99-4a12-902d-e211d6a52d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bbd5f-90a7-43b7-b1c5-339583c96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4dc4ba-ff99-4a12-902d-e211d6a52d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3b84e8-1157-46df-a680-a53870d85022}" ma:internalName="TaxCatchAll" ma:showField="CatchAllData" ma:web="fb4dc4ba-ff99-4a12-902d-e211d6a52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13bbd5f-90a7-43b7-b1c5-339583c96db7">
      <Terms xmlns="http://schemas.microsoft.com/office/infopath/2007/PartnerControls"/>
    </lcf76f155ced4ddcb4097134ff3c332f>
    <TaxCatchAll xmlns="fb4dc4ba-ff99-4a12-902d-e211d6a52d31" xsi:nil="true"/>
  </documentManagement>
</p:properties>
</file>

<file path=customXml/item6.xml><?xml version="1.0" encoding="utf-8"?>
<metadata xmlns="http://www.objective.com/ecm/document/metadata/CB029ECD6D85427BAD5E1D35DE4A29A4" version="1.0.0">
  <systemFields>
    <field name="Objective-Id">
      <value order="0">A1447249</value>
    </field>
    <field name="Objective-Title">
      <value order="0">Semester 1 Program (1)</value>
    </field>
    <field name="Objective-Description">
      <value order="0"/>
    </field>
    <field name="Objective-CreationStamp">
      <value order="0">2024-11-19T04:53:27Z</value>
    </field>
    <field name="Objective-IsApproved">
      <value order="0">false</value>
    </field>
    <field name="Objective-IsPublished">
      <value order="0">true</value>
    </field>
    <field name="Objective-DatePublished">
      <value order="0">2024-11-19T05:08:11Z</value>
    </field>
    <field name="Objective-ModificationStamp">
      <value order="0">2024-11-19T05:08:12Z</value>
    </field>
    <field name="Objective-Owner">
      <value order="0">Deanna Isles</value>
    </field>
    <field name="Objective-Path">
      <value order="0">Objective Global Folder:SACE Support Materials:SACE Support Materials Stage 1:Mathematics:Essential Mathematics (from 2025):Teaching and Learning Programs</value>
    </field>
    <field name="Objective-Parent">
      <value order="0">Teaching and Learning Programs</value>
    </field>
    <field name="Objective-State">
      <value order="0">Published</value>
    </field>
    <field name="Objective-VersionId">
      <value order="0">vA2186372</value>
    </field>
    <field name="Objective-Version">
      <value order="0">1.0</value>
    </field>
    <field name="Objective-VersionNumber">
      <value order="0">2</value>
    </field>
    <field name="Objective-VersionComment">
      <value order="0"/>
    </field>
    <field name="Objective-FileNumber">
      <value order="0">qA21326</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4FF20748-2F64-480E-9F2D-EA934D7412ED}">
  <ds:schemaRefs>
    <ds:schemaRef ds:uri="http://schemas.microsoft.com/sharepoint/v3/contenttype/forms"/>
  </ds:schemaRefs>
</ds:datastoreItem>
</file>

<file path=customXml/itemProps2.xml><?xml version="1.0" encoding="utf-8"?>
<ds:datastoreItem xmlns:ds="http://schemas.openxmlformats.org/officeDocument/2006/customXml" ds:itemID="{1F092A80-D139-4045-9DCF-729EA44574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bbd5f-90a7-43b7-b1c5-339583c96db7"/>
    <ds:schemaRef ds:uri="fb4dc4ba-ff99-4a12-902d-e211d6a52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1D1D0A-87AE-4EFB-A86D-0D5AE3925241}">
  <ds:schemaRefs>
    <ds:schemaRef ds:uri="http://schemas.openxmlformats.org/officeDocument/2006/bibliography"/>
  </ds:schemaRefs>
</ds:datastoreItem>
</file>

<file path=customXml/itemProps5.xml><?xml version="1.0" encoding="utf-8"?>
<ds:datastoreItem xmlns:ds="http://schemas.openxmlformats.org/officeDocument/2006/customXml" ds:itemID="{7D6D70B2-41CB-4C96-95AB-9B0808DDDFC2}">
  <ds:schemaRefs>
    <ds:schemaRef ds:uri="http://schemas.microsoft.com/office/2006/metadata/properties"/>
    <ds:schemaRef ds:uri="http://schemas.microsoft.com/office/infopath/2007/PartnerControls"/>
    <ds:schemaRef ds:uri="013bbd5f-90a7-43b7-b1c5-339583c96db7"/>
    <ds:schemaRef ds:uri="fb4dc4ba-ff99-4a12-902d-e211d6a52d31"/>
  </ds:schemaRefs>
</ds:datastoreItem>
</file>

<file path=customXml/itemProps6.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38</TotalTime>
  <Pages>4</Pages>
  <Words>1068</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Deanna Isles</dc:creator>
  <cp:lastModifiedBy>Isles, Deanna (SACE)</cp:lastModifiedBy>
  <cp:revision>13</cp:revision>
  <dcterms:created xsi:type="dcterms:W3CDTF">2015-06-16T03:41:00Z</dcterms:created>
  <dcterms:modified xsi:type="dcterms:W3CDTF">2024-11-19T05:08:00Z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Objective-Comment">
    <vt:lpwstr/>
  </op:property>
  <op:property fmtid="{D5CDD505-2E9C-101B-9397-08002B2CF9AE}" pid="4" name="ContentTypeId">
    <vt:lpwstr>0x010100DBB10A7932EB534F8AEF78845ABA8758</vt:lpwstr>
  </op:property>
  <op:property fmtid="{D5CDD505-2E9C-101B-9397-08002B2CF9AE}" pid="5" name="Customer-Id">
    <vt:lpwstr>CB029ECD6D85427BAD5E1D35DE4A29A4</vt:lpwstr>
  </op:property>
  <op:property fmtid="{D5CDD505-2E9C-101B-9397-08002B2CF9AE}" pid="6" name="Objective-Id">
    <vt:lpwstr>A1447249</vt:lpwstr>
  </op:property>
  <op:property fmtid="{D5CDD505-2E9C-101B-9397-08002B2CF9AE}" pid="7" name="Objective-Title">
    <vt:lpwstr>Semester 1 Program (1)</vt:lpwstr>
  </op:property>
  <op:property fmtid="{D5CDD505-2E9C-101B-9397-08002B2CF9AE}" pid="8" name="Objective-Description">
    <vt:lpwstr/>
  </op:property>
  <op:property fmtid="{D5CDD505-2E9C-101B-9397-08002B2CF9AE}" pid="9" name="Objective-CreationStamp">
    <vt:filetime>2024-11-19T04:53:27Z</vt:filetime>
  </op:property>
  <op:property fmtid="{D5CDD505-2E9C-101B-9397-08002B2CF9AE}" pid="10" name="Objective-IsApproved">
    <vt:bool>false</vt:bool>
  </op:property>
  <op:property fmtid="{D5CDD505-2E9C-101B-9397-08002B2CF9AE}" pid="11" name="Objective-IsPublished">
    <vt:bool>true</vt:bool>
  </op:property>
  <op:property fmtid="{D5CDD505-2E9C-101B-9397-08002B2CF9AE}" pid="12" name="Objective-DatePublished">
    <vt:filetime>2024-11-19T05:08:11Z</vt:filetime>
  </op:property>
  <op:property fmtid="{D5CDD505-2E9C-101B-9397-08002B2CF9AE}" pid="13" name="Objective-ModificationStamp">
    <vt:filetime>2024-11-19T05:08:12Z</vt:filetime>
  </op:property>
  <op:property fmtid="{D5CDD505-2E9C-101B-9397-08002B2CF9AE}" pid="14" name="Objective-Owner">
    <vt:lpwstr>Deanna Isles</vt:lpwstr>
  </op:property>
  <op:property fmtid="{D5CDD505-2E9C-101B-9397-08002B2CF9AE}" pid="15" name="Objective-Path">
    <vt:lpwstr>Objective Global Folder:SACE Support Materials:SACE Support Materials Stage 1:Mathematics:Essential Mathematics (from 2025):Teaching and Learning Programs</vt:lpwstr>
  </op:property>
  <op:property fmtid="{D5CDD505-2E9C-101B-9397-08002B2CF9AE}" pid="16" name="Objective-Parent">
    <vt:lpwstr>Teaching and Learning Programs</vt:lpwstr>
  </op:property>
  <op:property fmtid="{D5CDD505-2E9C-101B-9397-08002B2CF9AE}" pid="17" name="Objective-State">
    <vt:lpwstr>Published</vt:lpwstr>
  </op:property>
  <op:property fmtid="{D5CDD505-2E9C-101B-9397-08002B2CF9AE}" pid="18" name="Objective-VersionId">
    <vt:lpwstr>vA2186372</vt:lpwstr>
  </op:property>
  <op:property fmtid="{D5CDD505-2E9C-101B-9397-08002B2CF9AE}" pid="19" name="Objective-Version">
    <vt:lpwstr>1.0</vt:lpwstr>
  </op:property>
  <op:property fmtid="{D5CDD505-2E9C-101B-9397-08002B2CF9AE}" pid="20" name="Objective-VersionNumber">
    <vt:r8>2</vt:r8>
  </op:property>
  <op:property fmtid="{D5CDD505-2E9C-101B-9397-08002B2CF9AE}" pid="21" name="Objective-VersionComment">
    <vt:lpwstr/>
  </op:property>
  <op:property fmtid="{D5CDD505-2E9C-101B-9397-08002B2CF9AE}" pid="22" name="Objective-FileNumber">
    <vt:lpwstr>qA21326</vt:lpwstr>
  </op:property>
  <op:property fmtid="{D5CDD505-2E9C-101B-9397-08002B2CF9AE}" pid="23" name="Objective-Classification">
    <vt:lpwstr/>
  </op:property>
  <op:property fmtid="{D5CDD505-2E9C-101B-9397-08002B2CF9AE}" pid="24" name="Objective-Caveats">
    <vt:lpwstr/>
  </op:property>
  <op:property fmtid="{D5CDD505-2E9C-101B-9397-08002B2CF9AE}" pid="25" name="Objective-Security Classification">
    <vt:lpwstr>OFFICIAL</vt:lpwstr>
  </op:property>
  <op:property fmtid="{D5CDD505-2E9C-101B-9397-08002B2CF9AE}" pid="26" name="Objective-Connect Creator">
    <vt:lpwstr/>
  </op:property>
</op:Properties>
</file>