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F2DC" w14:textId="77777777" w:rsidR="00817704" w:rsidRDefault="00817704" w:rsidP="007F4277">
      <w:pPr>
        <w:pStyle w:val="Title"/>
        <w:jc w:val="center"/>
        <w:rPr>
          <w:rStyle w:val="Heading1Char"/>
          <w:sz w:val="32"/>
          <w:szCs w:val="24"/>
        </w:rPr>
      </w:pPr>
      <w:bookmarkStart w:id="0" w:name="_Toc315781740"/>
      <w:r>
        <w:rPr>
          <w:rStyle w:val="Heading1Char"/>
          <w:sz w:val="32"/>
          <w:szCs w:val="24"/>
        </w:rPr>
        <w:t>Stage 1 Essential Mathematics – Semester 2 – Trade focus</w:t>
      </w:r>
    </w:p>
    <w:bookmarkEnd w:id="0"/>
    <w:p w14:paraId="3C3BB5C4" w14:textId="77777777" w:rsidR="00817704" w:rsidRPr="00732385" w:rsidRDefault="00817704" w:rsidP="000C1125">
      <w:pPr>
        <w:pStyle w:val="Title"/>
        <w:spacing w:after="120"/>
        <w:jc w:val="center"/>
        <w:rPr>
          <w:sz w:val="30"/>
          <w:szCs w:val="30"/>
        </w:rPr>
      </w:pPr>
      <w:r w:rsidRPr="00732385">
        <w:rPr>
          <w:sz w:val="30"/>
          <w:szCs w:val="30"/>
        </w:rPr>
        <w:t>Topic</w:t>
      </w:r>
      <w:r>
        <w:rPr>
          <w:sz w:val="30"/>
          <w:szCs w:val="30"/>
        </w:rPr>
        <w:t xml:space="preserve"> 4</w:t>
      </w:r>
      <w:r w:rsidRPr="00732385">
        <w:rPr>
          <w:sz w:val="30"/>
          <w:szCs w:val="30"/>
        </w:rPr>
        <w:t xml:space="preserve">: </w:t>
      </w:r>
      <w:r>
        <w:rPr>
          <w:sz w:val="30"/>
          <w:szCs w:val="30"/>
        </w:rPr>
        <w:t>Data in Context, Topic 5</w:t>
      </w:r>
      <w:r w:rsidRPr="00732385">
        <w:rPr>
          <w:sz w:val="30"/>
          <w:szCs w:val="30"/>
        </w:rPr>
        <w:t xml:space="preserve">: </w:t>
      </w:r>
      <w:r>
        <w:rPr>
          <w:sz w:val="30"/>
          <w:szCs w:val="30"/>
        </w:rPr>
        <w:t>Measurement</w:t>
      </w:r>
      <w:r w:rsidR="00E43B49">
        <w:rPr>
          <w:sz w:val="30"/>
          <w:szCs w:val="30"/>
        </w:rPr>
        <w:t>,</w:t>
      </w:r>
      <w:r>
        <w:rPr>
          <w:sz w:val="30"/>
          <w:szCs w:val="30"/>
        </w:rPr>
        <w:t xml:space="preserve"> </w:t>
      </w:r>
      <w:r w:rsidR="00E43B49">
        <w:rPr>
          <w:sz w:val="30"/>
          <w:szCs w:val="30"/>
        </w:rPr>
        <w:t>and</w:t>
      </w:r>
      <w:r>
        <w:rPr>
          <w:sz w:val="30"/>
          <w:szCs w:val="30"/>
        </w:rPr>
        <w:t xml:space="preserve"> Topic 6:</w:t>
      </w:r>
      <w:r w:rsidRPr="00732385">
        <w:rPr>
          <w:sz w:val="30"/>
          <w:szCs w:val="30"/>
        </w:rPr>
        <w:t xml:space="preserve"> </w:t>
      </w:r>
      <w:r>
        <w:rPr>
          <w:sz w:val="30"/>
          <w:szCs w:val="30"/>
        </w:rPr>
        <w:t>Investing</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4675"/>
        <w:gridCol w:w="4980"/>
        <w:gridCol w:w="5083"/>
      </w:tblGrid>
      <w:tr w:rsidR="00817704" w:rsidRPr="007F4277" w14:paraId="00211405" w14:textId="77777777" w:rsidTr="000C1125">
        <w:trPr>
          <w:tblHeader/>
          <w:jc w:val="center"/>
        </w:trPr>
        <w:tc>
          <w:tcPr>
            <w:tcW w:w="306" w:type="pct"/>
            <w:vAlign w:val="center"/>
          </w:tcPr>
          <w:p w14:paraId="59B903DB" w14:textId="77777777" w:rsidR="00817704" w:rsidRPr="00167721" w:rsidRDefault="00817704" w:rsidP="00167721">
            <w:pPr>
              <w:spacing w:before="120" w:after="120"/>
              <w:jc w:val="center"/>
              <w:rPr>
                <w:rFonts w:cs="Arial"/>
              </w:rPr>
            </w:pPr>
          </w:p>
        </w:tc>
        <w:tc>
          <w:tcPr>
            <w:tcW w:w="1489" w:type="pct"/>
            <w:shd w:val="pct20" w:color="auto" w:fill="auto"/>
            <w:vAlign w:val="center"/>
          </w:tcPr>
          <w:p w14:paraId="29D5D8BA" w14:textId="77777777" w:rsidR="00817704" w:rsidRPr="00167721" w:rsidRDefault="00817704" w:rsidP="00167721">
            <w:pPr>
              <w:tabs>
                <w:tab w:val="left" w:pos="1017"/>
              </w:tabs>
              <w:spacing w:before="120" w:after="120"/>
              <w:jc w:val="center"/>
              <w:rPr>
                <w:rFonts w:cs="Arial"/>
                <w:b/>
              </w:rPr>
            </w:pPr>
            <w:r w:rsidRPr="00167721">
              <w:rPr>
                <w:rFonts w:cs="Arial"/>
                <w:b/>
                <w:szCs w:val="22"/>
              </w:rPr>
              <w:t>Lesson 1 – Single Lesson</w:t>
            </w:r>
          </w:p>
        </w:tc>
        <w:tc>
          <w:tcPr>
            <w:tcW w:w="1586" w:type="pct"/>
            <w:shd w:val="pct20" w:color="auto" w:fill="auto"/>
            <w:vAlign w:val="center"/>
          </w:tcPr>
          <w:p w14:paraId="0BE82E31" w14:textId="77777777" w:rsidR="00817704" w:rsidRPr="00167721" w:rsidRDefault="00817704" w:rsidP="00167721">
            <w:pPr>
              <w:spacing w:before="120" w:after="120"/>
              <w:jc w:val="center"/>
              <w:rPr>
                <w:rFonts w:cs="Arial"/>
                <w:b/>
              </w:rPr>
            </w:pPr>
            <w:r w:rsidRPr="00167721">
              <w:rPr>
                <w:rFonts w:cs="Arial"/>
                <w:b/>
                <w:szCs w:val="22"/>
              </w:rPr>
              <w:t>Lesson 2 – Single Lesson</w:t>
            </w:r>
          </w:p>
        </w:tc>
        <w:tc>
          <w:tcPr>
            <w:tcW w:w="1619" w:type="pct"/>
            <w:shd w:val="pct20" w:color="auto" w:fill="auto"/>
            <w:vAlign w:val="center"/>
          </w:tcPr>
          <w:p w14:paraId="6540C060" w14:textId="77777777" w:rsidR="00817704" w:rsidRPr="00167721" w:rsidRDefault="00817704" w:rsidP="00167721">
            <w:pPr>
              <w:spacing w:before="120" w:after="120"/>
              <w:jc w:val="center"/>
              <w:rPr>
                <w:rFonts w:cs="Arial"/>
                <w:b/>
              </w:rPr>
            </w:pPr>
            <w:r w:rsidRPr="00167721">
              <w:rPr>
                <w:rFonts w:cs="Arial"/>
                <w:b/>
                <w:szCs w:val="22"/>
              </w:rPr>
              <w:t>Lesson 3 – Double Lesson</w:t>
            </w:r>
          </w:p>
        </w:tc>
      </w:tr>
      <w:tr w:rsidR="00817704" w:rsidRPr="007F4277" w14:paraId="5C3A2E1A" w14:textId="77777777" w:rsidTr="00C6513C">
        <w:trPr>
          <w:trHeight w:val="825"/>
          <w:jc w:val="center"/>
        </w:trPr>
        <w:tc>
          <w:tcPr>
            <w:tcW w:w="306" w:type="pct"/>
            <w:shd w:val="clear" w:color="auto" w:fill="BFBFBF"/>
            <w:vAlign w:val="center"/>
          </w:tcPr>
          <w:p w14:paraId="1009C1EF" w14:textId="77777777" w:rsidR="00817704" w:rsidRPr="00167721" w:rsidRDefault="00817704" w:rsidP="00167721">
            <w:pPr>
              <w:jc w:val="center"/>
              <w:rPr>
                <w:rFonts w:cs="Arial"/>
                <w:u w:val="single"/>
              </w:rPr>
            </w:pPr>
            <w:r w:rsidRPr="00167721">
              <w:rPr>
                <w:rFonts w:cs="Arial"/>
                <w:szCs w:val="22"/>
                <w:u w:val="single"/>
              </w:rPr>
              <w:t>Term Two</w:t>
            </w:r>
          </w:p>
          <w:p w14:paraId="6161B78E" w14:textId="77777777" w:rsidR="00817704" w:rsidRPr="00167721" w:rsidRDefault="00817704" w:rsidP="00167721">
            <w:pPr>
              <w:jc w:val="center"/>
              <w:rPr>
                <w:rFonts w:cs="Arial"/>
                <w:b/>
              </w:rPr>
            </w:pPr>
            <w:r w:rsidRPr="00167721">
              <w:rPr>
                <w:rFonts w:cs="Arial"/>
                <w:b/>
                <w:szCs w:val="22"/>
              </w:rPr>
              <w:t>Week 9</w:t>
            </w:r>
          </w:p>
          <w:p w14:paraId="7CCBA099" w14:textId="77777777" w:rsidR="00817704" w:rsidRPr="00167721" w:rsidRDefault="00817704" w:rsidP="00167721">
            <w:pPr>
              <w:jc w:val="center"/>
              <w:rPr>
                <w:rFonts w:cs="Arial"/>
              </w:rPr>
            </w:pPr>
          </w:p>
        </w:tc>
        <w:tc>
          <w:tcPr>
            <w:tcW w:w="1489" w:type="pct"/>
            <w:vAlign w:val="center"/>
          </w:tcPr>
          <w:p w14:paraId="2ADD1414" w14:textId="77777777" w:rsidR="00817704" w:rsidRPr="00167721" w:rsidRDefault="00817704" w:rsidP="00167721">
            <w:pPr>
              <w:spacing w:before="120" w:after="120"/>
              <w:jc w:val="center"/>
              <w:rPr>
                <w:rFonts w:cs="Arial"/>
                <w:b/>
                <w:color w:val="0070C0"/>
                <w:sz w:val="20"/>
                <w:szCs w:val="20"/>
                <w:u w:val="single"/>
              </w:rPr>
            </w:pPr>
            <w:r w:rsidRPr="00167721">
              <w:rPr>
                <w:rFonts w:cs="Arial"/>
                <w:b/>
                <w:color w:val="0070C0"/>
                <w:sz w:val="20"/>
                <w:szCs w:val="20"/>
                <w:u w:val="single"/>
              </w:rPr>
              <w:t>TOPIC FOUR: DATA IN CONTEXT</w:t>
            </w:r>
          </w:p>
          <w:p w14:paraId="7E581EE6" w14:textId="77777777" w:rsidR="00817704" w:rsidRPr="00167721" w:rsidRDefault="00817704" w:rsidP="00167721">
            <w:pPr>
              <w:spacing w:before="120" w:after="120"/>
              <w:jc w:val="center"/>
              <w:rPr>
                <w:rFonts w:cs="Arial"/>
                <w:sz w:val="20"/>
                <w:szCs w:val="20"/>
              </w:rPr>
            </w:pPr>
            <w:r w:rsidRPr="00167721">
              <w:rPr>
                <w:rFonts w:cs="Arial"/>
                <w:sz w:val="20"/>
                <w:szCs w:val="20"/>
              </w:rPr>
              <w:t>Why do we collect data?</w:t>
            </w:r>
          </w:p>
          <w:p w14:paraId="15A66361" w14:textId="77777777" w:rsidR="00817704" w:rsidRPr="00167721" w:rsidRDefault="00E43B49" w:rsidP="00167721">
            <w:pPr>
              <w:spacing w:before="120" w:after="120"/>
              <w:jc w:val="center"/>
              <w:rPr>
                <w:rFonts w:cs="Arial"/>
                <w:sz w:val="20"/>
                <w:szCs w:val="20"/>
              </w:rPr>
            </w:pPr>
            <w:r>
              <w:rPr>
                <w:rFonts w:cs="Arial"/>
                <w:sz w:val="20"/>
                <w:szCs w:val="20"/>
              </w:rPr>
              <w:t xml:space="preserve">Classification of data </w:t>
            </w:r>
          </w:p>
          <w:p w14:paraId="2B3F439A" w14:textId="77777777" w:rsidR="00817704" w:rsidRPr="00C6513C" w:rsidRDefault="00817704" w:rsidP="00167721">
            <w:pPr>
              <w:pStyle w:val="ListParagraph"/>
              <w:numPr>
                <w:ilvl w:val="0"/>
                <w:numId w:val="11"/>
              </w:numPr>
              <w:spacing w:before="120" w:after="120"/>
              <w:ind w:left="520" w:firstLine="0"/>
              <w:rPr>
                <w:rFonts w:ascii="Arial" w:hAnsi="Arial" w:cs="Arial"/>
                <w:sz w:val="20"/>
                <w:szCs w:val="20"/>
              </w:rPr>
            </w:pPr>
            <w:r w:rsidRPr="00C6513C">
              <w:rPr>
                <w:rFonts w:ascii="Arial" w:hAnsi="Arial" w:cs="Arial"/>
                <w:sz w:val="20"/>
                <w:szCs w:val="20"/>
              </w:rPr>
              <w:t xml:space="preserve">Categorical data: Nominal </w:t>
            </w:r>
            <w:r w:rsidR="00E43B49">
              <w:rPr>
                <w:rFonts w:ascii="Arial" w:hAnsi="Arial" w:cs="Arial"/>
                <w:sz w:val="20"/>
                <w:szCs w:val="20"/>
              </w:rPr>
              <w:t>and</w:t>
            </w:r>
            <w:r w:rsidRPr="00C6513C">
              <w:rPr>
                <w:rFonts w:ascii="Arial" w:hAnsi="Arial" w:cs="Arial"/>
                <w:sz w:val="20"/>
                <w:szCs w:val="20"/>
              </w:rPr>
              <w:t xml:space="preserve"> Ordinal </w:t>
            </w:r>
          </w:p>
          <w:p w14:paraId="351129BC" w14:textId="77777777" w:rsidR="00817704" w:rsidRPr="00167721" w:rsidRDefault="00817704" w:rsidP="00167721">
            <w:pPr>
              <w:pStyle w:val="ListParagraph"/>
              <w:numPr>
                <w:ilvl w:val="0"/>
                <w:numId w:val="11"/>
              </w:numPr>
              <w:spacing w:before="120" w:after="120"/>
              <w:ind w:left="520" w:firstLine="0"/>
              <w:rPr>
                <w:rFonts w:cs="Arial"/>
                <w:sz w:val="20"/>
                <w:szCs w:val="20"/>
              </w:rPr>
            </w:pPr>
            <w:r w:rsidRPr="00C6513C">
              <w:rPr>
                <w:rFonts w:ascii="Arial" w:hAnsi="Arial" w:cs="Arial"/>
                <w:sz w:val="20"/>
                <w:szCs w:val="20"/>
              </w:rPr>
              <w:t xml:space="preserve">Numerical data: Discrete </w:t>
            </w:r>
            <w:r w:rsidR="00E43B49">
              <w:rPr>
                <w:rFonts w:ascii="Arial" w:hAnsi="Arial" w:cs="Arial"/>
                <w:sz w:val="20"/>
                <w:szCs w:val="20"/>
              </w:rPr>
              <w:t>and</w:t>
            </w:r>
            <w:r w:rsidRPr="00C6513C">
              <w:rPr>
                <w:rFonts w:ascii="Arial" w:hAnsi="Arial" w:cs="Arial"/>
                <w:sz w:val="20"/>
                <w:szCs w:val="20"/>
              </w:rPr>
              <w:t xml:space="preserve"> Continuous</w:t>
            </w:r>
          </w:p>
        </w:tc>
        <w:tc>
          <w:tcPr>
            <w:tcW w:w="1586" w:type="pct"/>
            <w:vAlign w:val="center"/>
          </w:tcPr>
          <w:p w14:paraId="6E7AF360" w14:textId="77777777" w:rsidR="00817704" w:rsidRPr="00167721" w:rsidRDefault="00817704" w:rsidP="00167721">
            <w:pPr>
              <w:spacing w:before="120" w:after="120"/>
              <w:jc w:val="center"/>
              <w:rPr>
                <w:rFonts w:cs="Arial"/>
                <w:sz w:val="20"/>
                <w:szCs w:val="20"/>
              </w:rPr>
            </w:pPr>
            <w:r w:rsidRPr="00167721">
              <w:rPr>
                <w:rFonts w:cs="Arial"/>
                <w:sz w:val="20"/>
                <w:szCs w:val="20"/>
              </w:rPr>
              <w:t>Understanding and extracting information from tables</w:t>
            </w:r>
            <w:r>
              <w:rPr>
                <w:rFonts w:cs="Arial"/>
                <w:sz w:val="20"/>
                <w:szCs w:val="20"/>
              </w:rPr>
              <w:t xml:space="preserve"> including Two-way tables</w:t>
            </w:r>
          </w:p>
          <w:p w14:paraId="7DD7A128" w14:textId="77777777" w:rsidR="00817704" w:rsidRPr="00167721" w:rsidRDefault="00817704" w:rsidP="00167721">
            <w:pPr>
              <w:spacing w:before="120" w:after="120"/>
              <w:jc w:val="center"/>
              <w:rPr>
                <w:rFonts w:cs="Arial"/>
                <w:sz w:val="20"/>
                <w:szCs w:val="20"/>
              </w:rPr>
            </w:pPr>
            <w:r w:rsidRPr="00167721">
              <w:rPr>
                <w:rFonts w:cs="Arial"/>
                <w:sz w:val="20"/>
                <w:szCs w:val="20"/>
              </w:rPr>
              <w:t xml:space="preserve">An activity such as ‘Is Australia the Greatest Olympic Sporting Nation?’ on ABS website </w:t>
            </w:r>
            <w:r w:rsidR="00E43B49">
              <w:rPr>
                <w:rFonts w:cs="Arial"/>
                <w:sz w:val="20"/>
                <w:szCs w:val="20"/>
              </w:rPr>
              <w:t>may assist in engaging students</w:t>
            </w:r>
          </w:p>
          <w:p w14:paraId="544E8254" w14:textId="77777777" w:rsidR="00817704" w:rsidRPr="00167721" w:rsidRDefault="00000000" w:rsidP="001978FC">
            <w:pPr>
              <w:spacing w:before="120" w:after="120"/>
              <w:jc w:val="center"/>
              <w:rPr>
                <w:rFonts w:cs="Arial"/>
                <w:sz w:val="20"/>
                <w:szCs w:val="20"/>
              </w:rPr>
            </w:pPr>
            <w:hyperlink r:id="rId11" w:history="1">
              <w:r w:rsidR="00817704" w:rsidRPr="00167721">
                <w:rPr>
                  <w:rStyle w:val="Hyperlink"/>
                  <w:rFonts w:cs="Arial"/>
                  <w:sz w:val="20"/>
                  <w:szCs w:val="20"/>
                </w:rPr>
                <w:t>http://www.abs.gov.au/websitedbs/CaSHome.nsf/Home/MAT14+Is+Australia+the+Greatest+Olympic+Sporting+Nation</w:t>
              </w:r>
            </w:hyperlink>
          </w:p>
        </w:tc>
        <w:tc>
          <w:tcPr>
            <w:tcW w:w="1619" w:type="pct"/>
            <w:vAlign w:val="center"/>
          </w:tcPr>
          <w:p w14:paraId="62EAA1A9" w14:textId="77777777" w:rsidR="00817704" w:rsidRPr="00167721" w:rsidRDefault="00817704" w:rsidP="00E43B49">
            <w:pPr>
              <w:spacing w:before="120"/>
              <w:jc w:val="center"/>
              <w:rPr>
                <w:rFonts w:cs="Arial"/>
                <w:sz w:val="20"/>
                <w:szCs w:val="20"/>
              </w:rPr>
            </w:pPr>
            <w:r w:rsidRPr="00167721">
              <w:rPr>
                <w:rFonts w:cs="Arial"/>
                <w:sz w:val="20"/>
                <w:szCs w:val="20"/>
              </w:rPr>
              <w:t>How do you read graphs including the information that can be accessed from:</w:t>
            </w:r>
          </w:p>
          <w:p w14:paraId="5E48C5BB" w14:textId="77777777" w:rsidR="00817704" w:rsidRPr="00C6513C" w:rsidRDefault="00817704" w:rsidP="00C6513C">
            <w:pPr>
              <w:pStyle w:val="ListParagraph"/>
              <w:numPr>
                <w:ilvl w:val="0"/>
                <w:numId w:val="12"/>
              </w:numPr>
              <w:spacing w:before="60" w:after="60"/>
              <w:rPr>
                <w:rFonts w:ascii="Arial" w:hAnsi="Arial" w:cs="Arial"/>
                <w:sz w:val="20"/>
                <w:szCs w:val="20"/>
              </w:rPr>
            </w:pPr>
            <w:r w:rsidRPr="00C6513C">
              <w:rPr>
                <w:rFonts w:ascii="Arial" w:hAnsi="Arial" w:cs="Arial"/>
                <w:sz w:val="20"/>
                <w:szCs w:val="20"/>
              </w:rPr>
              <w:t>Titles</w:t>
            </w:r>
          </w:p>
          <w:p w14:paraId="28D68202" w14:textId="77777777" w:rsidR="00817704" w:rsidRPr="00C6513C" w:rsidRDefault="00817704" w:rsidP="00C6513C">
            <w:pPr>
              <w:pStyle w:val="ListParagraph"/>
              <w:numPr>
                <w:ilvl w:val="0"/>
                <w:numId w:val="12"/>
              </w:numPr>
              <w:spacing w:before="60" w:after="60"/>
              <w:rPr>
                <w:rFonts w:ascii="Arial" w:hAnsi="Arial" w:cs="Arial"/>
                <w:sz w:val="20"/>
                <w:szCs w:val="20"/>
              </w:rPr>
            </w:pPr>
            <w:r w:rsidRPr="00C6513C">
              <w:rPr>
                <w:rFonts w:ascii="Arial" w:hAnsi="Arial" w:cs="Arial"/>
                <w:sz w:val="20"/>
                <w:szCs w:val="20"/>
              </w:rPr>
              <w:t>Axes labels</w:t>
            </w:r>
          </w:p>
          <w:p w14:paraId="48464FDB" w14:textId="77777777" w:rsidR="00817704" w:rsidRPr="00C6513C" w:rsidRDefault="00817704" w:rsidP="00C6513C">
            <w:pPr>
              <w:pStyle w:val="ListParagraph"/>
              <w:numPr>
                <w:ilvl w:val="0"/>
                <w:numId w:val="12"/>
              </w:numPr>
              <w:spacing w:before="60" w:after="60"/>
              <w:rPr>
                <w:rFonts w:ascii="Arial" w:hAnsi="Arial" w:cs="Arial"/>
                <w:sz w:val="20"/>
                <w:szCs w:val="20"/>
              </w:rPr>
            </w:pPr>
            <w:r w:rsidRPr="00C6513C">
              <w:rPr>
                <w:rFonts w:ascii="Arial" w:hAnsi="Arial" w:cs="Arial"/>
                <w:sz w:val="20"/>
                <w:szCs w:val="20"/>
              </w:rPr>
              <w:t>Scales and keys</w:t>
            </w:r>
          </w:p>
          <w:p w14:paraId="4C726930" w14:textId="77777777" w:rsidR="00817704" w:rsidRPr="00167721" w:rsidRDefault="00817704" w:rsidP="00E43B49">
            <w:pPr>
              <w:spacing w:before="60" w:after="60"/>
              <w:jc w:val="center"/>
              <w:rPr>
                <w:rFonts w:cs="Arial"/>
                <w:sz w:val="20"/>
                <w:szCs w:val="20"/>
              </w:rPr>
            </w:pPr>
            <w:r w:rsidRPr="00167721">
              <w:rPr>
                <w:rFonts w:cs="Arial"/>
                <w:sz w:val="20"/>
                <w:szCs w:val="20"/>
              </w:rPr>
              <w:t>Understanding and extracting information from graphs (including line graphs, step graphs, column graphs,</w:t>
            </w:r>
            <w:r>
              <w:rPr>
                <w:rFonts w:cs="Arial"/>
                <w:sz w:val="20"/>
                <w:szCs w:val="20"/>
              </w:rPr>
              <w:t xml:space="preserve"> picture graphs and pie graphs</w:t>
            </w:r>
            <w:r w:rsidRPr="00167721">
              <w:rPr>
                <w:rFonts w:cs="Arial"/>
                <w:sz w:val="20"/>
                <w:szCs w:val="20"/>
              </w:rPr>
              <w:t>)</w:t>
            </w:r>
          </w:p>
        </w:tc>
      </w:tr>
      <w:tr w:rsidR="00817704" w:rsidRPr="007F4277" w14:paraId="4A98E58E" w14:textId="77777777" w:rsidTr="00C6513C">
        <w:trPr>
          <w:trHeight w:val="1838"/>
          <w:jc w:val="center"/>
        </w:trPr>
        <w:tc>
          <w:tcPr>
            <w:tcW w:w="306" w:type="pct"/>
            <w:shd w:val="clear" w:color="auto" w:fill="BFBFBF"/>
            <w:vAlign w:val="center"/>
          </w:tcPr>
          <w:p w14:paraId="3F078937" w14:textId="77777777" w:rsidR="00817704" w:rsidRPr="00167721" w:rsidRDefault="00817704" w:rsidP="00167721">
            <w:pPr>
              <w:jc w:val="center"/>
              <w:rPr>
                <w:rFonts w:cs="Arial"/>
                <w:b/>
              </w:rPr>
            </w:pPr>
            <w:r w:rsidRPr="00167721">
              <w:rPr>
                <w:rFonts w:cs="Arial"/>
                <w:b/>
                <w:szCs w:val="22"/>
              </w:rPr>
              <w:t>Week 10</w:t>
            </w:r>
          </w:p>
          <w:p w14:paraId="1F27E0CB" w14:textId="77777777" w:rsidR="00817704" w:rsidRPr="00167721" w:rsidRDefault="00817704" w:rsidP="00167721">
            <w:pPr>
              <w:jc w:val="center"/>
              <w:rPr>
                <w:rFonts w:cs="Arial"/>
                <w:u w:val="single"/>
              </w:rPr>
            </w:pPr>
          </w:p>
        </w:tc>
        <w:tc>
          <w:tcPr>
            <w:tcW w:w="1489" w:type="pct"/>
            <w:vAlign w:val="center"/>
          </w:tcPr>
          <w:p w14:paraId="57E78F1B" w14:textId="77777777" w:rsidR="00817704" w:rsidRPr="00167721" w:rsidRDefault="00817704" w:rsidP="00E43B49">
            <w:pPr>
              <w:spacing w:before="120" w:after="120"/>
              <w:jc w:val="center"/>
              <w:rPr>
                <w:rFonts w:cs="Arial"/>
                <w:sz w:val="20"/>
                <w:szCs w:val="20"/>
              </w:rPr>
            </w:pPr>
            <w:r w:rsidRPr="00167721">
              <w:rPr>
                <w:rFonts w:cs="Arial"/>
                <w:b/>
                <w:sz w:val="20"/>
                <w:szCs w:val="20"/>
              </w:rPr>
              <w:t>Practical activity 1</w:t>
            </w:r>
            <w:r w:rsidRPr="00167721">
              <w:rPr>
                <w:rFonts w:cs="Arial"/>
                <w:sz w:val="20"/>
                <w:szCs w:val="20"/>
              </w:rPr>
              <w:t xml:space="preserve"> – </w:t>
            </w:r>
            <w:r w:rsidR="00E43B49">
              <w:rPr>
                <w:rFonts w:cs="Arial"/>
                <w:sz w:val="20"/>
                <w:szCs w:val="20"/>
              </w:rPr>
              <w:t xml:space="preserve">Collecting </w:t>
            </w:r>
            <w:r w:rsidRPr="00167721">
              <w:rPr>
                <w:rFonts w:cs="Arial"/>
                <w:sz w:val="20"/>
                <w:szCs w:val="20"/>
              </w:rPr>
              <w:t>categorical data (brand of mobile phone used, methods of transport to school etc). Individual or groups of students can collect different data for use in the following lesson. Students should have some question in mind that they wish the data collected to answer.</w:t>
            </w:r>
          </w:p>
        </w:tc>
        <w:tc>
          <w:tcPr>
            <w:tcW w:w="1586" w:type="pct"/>
            <w:vAlign w:val="center"/>
          </w:tcPr>
          <w:p w14:paraId="6969E3F6" w14:textId="77777777" w:rsidR="00817704" w:rsidRPr="00167721" w:rsidRDefault="00817704" w:rsidP="00167721">
            <w:pPr>
              <w:spacing w:before="120" w:after="120"/>
              <w:jc w:val="center"/>
              <w:rPr>
                <w:rFonts w:cs="Arial"/>
                <w:sz w:val="20"/>
                <w:szCs w:val="20"/>
              </w:rPr>
            </w:pPr>
            <w:r w:rsidRPr="00167721">
              <w:rPr>
                <w:rFonts w:cs="Arial"/>
                <w:b/>
                <w:sz w:val="20"/>
                <w:szCs w:val="20"/>
              </w:rPr>
              <w:t>Practical activity 1</w:t>
            </w:r>
            <w:r w:rsidRPr="00167721">
              <w:rPr>
                <w:rFonts w:cs="Arial"/>
                <w:sz w:val="20"/>
                <w:szCs w:val="20"/>
              </w:rPr>
              <w:t xml:space="preserve"> continued</w:t>
            </w:r>
          </w:p>
          <w:p w14:paraId="1E5B3673" w14:textId="77777777" w:rsidR="00817704" w:rsidRPr="00167721" w:rsidRDefault="00817704" w:rsidP="00C6513C">
            <w:pPr>
              <w:spacing w:before="120" w:after="120"/>
              <w:jc w:val="center"/>
              <w:rPr>
                <w:rFonts w:cs="Arial"/>
                <w:sz w:val="20"/>
                <w:szCs w:val="20"/>
              </w:rPr>
            </w:pPr>
            <w:r w:rsidRPr="00167721">
              <w:rPr>
                <w:rFonts w:cs="Arial"/>
                <w:sz w:val="20"/>
                <w:szCs w:val="20"/>
              </w:rPr>
              <w:t>Students’ tabulate their own data and that of other groups and display it in different ways graphically using charts in excel. They analyse the different representations of the data and discuss which representation best displays the information.</w:t>
            </w:r>
          </w:p>
        </w:tc>
        <w:tc>
          <w:tcPr>
            <w:tcW w:w="1619" w:type="pct"/>
            <w:vAlign w:val="center"/>
          </w:tcPr>
          <w:p w14:paraId="2C44AAB4" w14:textId="77777777" w:rsidR="00817704" w:rsidRPr="00167721" w:rsidRDefault="00817704" w:rsidP="00C6513C">
            <w:pPr>
              <w:spacing w:after="120"/>
              <w:jc w:val="center"/>
              <w:rPr>
                <w:rFonts w:cs="Arial"/>
                <w:sz w:val="20"/>
                <w:szCs w:val="20"/>
              </w:rPr>
            </w:pPr>
            <w:r w:rsidRPr="00167721">
              <w:rPr>
                <w:rFonts w:cs="Arial"/>
                <w:b/>
                <w:sz w:val="20"/>
                <w:szCs w:val="20"/>
              </w:rPr>
              <w:t>Practical activity 1</w:t>
            </w:r>
            <w:r w:rsidRPr="00167721">
              <w:rPr>
                <w:rFonts w:cs="Arial"/>
                <w:sz w:val="20"/>
                <w:szCs w:val="20"/>
              </w:rPr>
              <w:t xml:space="preserve"> continued</w:t>
            </w:r>
          </w:p>
          <w:p w14:paraId="61557575" w14:textId="77777777" w:rsidR="00817704" w:rsidRPr="00167721" w:rsidRDefault="00817704" w:rsidP="00167721">
            <w:pPr>
              <w:spacing w:before="120" w:after="120"/>
              <w:jc w:val="center"/>
              <w:rPr>
                <w:rFonts w:cs="Arial"/>
                <w:sz w:val="20"/>
                <w:szCs w:val="20"/>
              </w:rPr>
            </w:pPr>
            <w:r w:rsidRPr="00167721">
              <w:rPr>
                <w:rFonts w:cs="Arial"/>
                <w:sz w:val="20"/>
                <w:szCs w:val="20"/>
              </w:rPr>
              <w:t>Students consider the data they have collected and displayed, and discuss whether it supports an answer to the question(s) they were initially considering.</w:t>
            </w:r>
          </w:p>
          <w:p w14:paraId="268800F1" w14:textId="77777777" w:rsidR="00817704" w:rsidRPr="00167721" w:rsidRDefault="00817704" w:rsidP="00E43B49">
            <w:pPr>
              <w:spacing w:before="120" w:after="120"/>
              <w:jc w:val="center"/>
              <w:rPr>
                <w:rFonts w:cs="Arial"/>
                <w:sz w:val="20"/>
                <w:szCs w:val="20"/>
              </w:rPr>
            </w:pPr>
            <w:r w:rsidRPr="00167721">
              <w:rPr>
                <w:rFonts w:cs="Arial"/>
                <w:sz w:val="20"/>
                <w:szCs w:val="20"/>
              </w:rPr>
              <w:t>Further activities involving the representation of categorical data graphically if time permits.</w:t>
            </w:r>
          </w:p>
        </w:tc>
      </w:tr>
      <w:tr w:rsidR="00817704" w:rsidRPr="007F4277" w14:paraId="1EA87EAA" w14:textId="77777777" w:rsidTr="00C6513C">
        <w:trPr>
          <w:trHeight w:val="2054"/>
          <w:jc w:val="center"/>
        </w:trPr>
        <w:tc>
          <w:tcPr>
            <w:tcW w:w="306" w:type="pct"/>
            <w:shd w:val="clear" w:color="auto" w:fill="BFBFBF"/>
            <w:vAlign w:val="center"/>
          </w:tcPr>
          <w:p w14:paraId="66AB67C7" w14:textId="77777777" w:rsidR="00817704" w:rsidRPr="00167721" w:rsidRDefault="00817704" w:rsidP="00167721">
            <w:pPr>
              <w:jc w:val="center"/>
              <w:rPr>
                <w:rFonts w:cs="Arial"/>
                <w:u w:val="single"/>
              </w:rPr>
            </w:pPr>
            <w:r w:rsidRPr="00167721">
              <w:rPr>
                <w:rFonts w:cs="Arial"/>
                <w:szCs w:val="22"/>
                <w:u w:val="single"/>
              </w:rPr>
              <w:t>Term Three</w:t>
            </w:r>
          </w:p>
          <w:p w14:paraId="58B92C69" w14:textId="77777777" w:rsidR="00817704" w:rsidRPr="00167721" w:rsidRDefault="00817704" w:rsidP="00167721">
            <w:pPr>
              <w:jc w:val="center"/>
              <w:rPr>
                <w:rFonts w:cs="Arial"/>
                <w:b/>
              </w:rPr>
            </w:pPr>
            <w:r w:rsidRPr="00167721">
              <w:rPr>
                <w:rFonts w:cs="Arial"/>
                <w:b/>
                <w:szCs w:val="22"/>
              </w:rPr>
              <w:t>Week 1</w:t>
            </w:r>
          </w:p>
          <w:p w14:paraId="52E9A04B" w14:textId="77777777" w:rsidR="00817704" w:rsidRPr="00167721" w:rsidRDefault="00817704" w:rsidP="00167721">
            <w:pPr>
              <w:jc w:val="center"/>
              <w:rPr>
                <w:rFonts w:cs="Arial"/>
              </w:rPr>
            </w:pPr>
          </w:p>
        </w:tc>
        <w:tc>
          <w:tcPr>
            <w:tcW w:w="1489" w:type="pct"/>
            <w:vAlign w:val="center"/>
          </w:tcPr>
          <w:p w14:paraId="67B74984" w14:textId="77777777" w:rsidR="00817704" w:rsidRPr="00167721" w:rsidRDefault="00817704" w:rsidP="00167721">
            <w:pPr>
              <w:spacing w:before="120" w:after="120"/>
              <w:jc w:val="center"/>
              <w:rPr>
                <w:rFonts w:cs="Arial"/>
                <w:sz w:val="20"/>
                <w:szCs w:val="20"/>
              </w:rPr>
            </w:pPr>
            <w:r w:rsidRPr="00167721">
              <w:rPr>
                <w:rFonts w:cs="Arial"/>
                <w:b/>
                <w:sz w:val="20"/>
                <w:szCs w:val="20"/>
              </w:rPr>
              <w:t>Practical activity</w:t>
            </w:r>
            <w:r w:rsidRPr="00167721">
              <w:rPr>
                <w:rFonts w:cs="Arial"/>
                <w:sz w:val="20"/>
                <w:szCs w:val="20"/>
              </w:rPr>
              <w:t xml:space="preserve"> </w:t>
            </w:r>
            <w:r w:rsidRPr="00167721">
              <w:rPr>
                <w:rFonts w:cs="Arial"/>
                <w:b/>
                <w:sz w:val="20"/>
                <w:szCs w:val="20"/>
              </w:rPr>
              <w:t>2</w:t>
            </w:r>
            <w:r w:rsidRPr="00167721">
              <w:rPr>
                <w:rFonts w:cs="Arial"/>
                <w:sz w:val="20"/>
                <w:szCs w:val="20"/>
              </w:rPr>
              <w:t xml:space="preserve"> – Collecting numerical data </w:t>
            </w:r>
          </w:p>
          <w:p w14:paraId="7D8C38D9" w14:textId="77777777" w:rsidR="00817704" w:rsidRPr="00167721" w:rsidRDefault="00817704" w:rsidP="00167721">
            <w:pPr>
              <w:spacing w:before="120" w:after="120"/>
              <w:jc w:val="center"/>
              <w:rPr>
                <w:rFonts w:cs="Arial"/>
                <w:sz w:val="20"/>
                <w:szCs w:val="20"/>
              </w:rPr>
            </w:pPr>
            <w:r w:rsidRPr="00167721">
              <w:rPr>
                <w:rFonts w:cs="Arial"/>
                <w:sz w:val="20"/>
                <w:szCs w:val="20"/>
              </w:rPr>
              <w:t>Students measure their reaction tim</w:t>
            </w:r>
            <w:r w:rsidR="00E43B49">
              <w:rPr>
                <w:rFonts w:cs="Arial"/>
                <w:sz w:val="20"/>
                <w:szCs w:val="20"/>
              </w:rPr>
              <w:t>e in pairs over 20 trials each</w:t>
            </w:r>
          </w:p>
        </w:tc>
        <w:tc>
          <w:tcPr>
            <w:tcW w:w="1586" w:type="pct"/>
            <w:vAlign w:val="center"/>
          </w:tcPr>
          <w:p w14:paraId="076DCC41" w14:textId="77777777" w:rsidR="00817704" w:rsidRPr="00167721" w:rsidRDefault="00817704" w:rsidP="00167721">
            <w:pPr>
              <w:spacing w:before="120" w:after="120"/>
              <w:jc w:val="center"/>
              <w:rPr>
                <w:rFonts w:cs="Arial"/>
                <w:sz w:val="20"/>
                <w:szCs w:val="20"/>
              </w:rPr>
            </w:pPr>
            <w:r w:rsidRPr="00167721">
              <w:rPr>
                <w:rFonts w:cs="Arial"/>
                <w:b/>
                <w:sz w:val="20"/>
                <w:szCs w:val="20"/>
              </w:rPr>
              <w:t>Practical activity 2</w:t>
            </w:r>
            <w:r w:rsidRPr="00167721">
              <w:rPr>
                <w:rFonts w:cs="Arial"/>
                <w:sz w:val="20"/>
                <w:szCs w:val="20"/>
              </w:rPr>
              <w:t xml:space="preserve"> continued</w:t>
            </w:r>
          </w:p>
          <w:p w14:paraId="1A4190FD" w14:textId="77777777" w:rsidR="00817704" w:rsidRPr="00167721" w:rsidRDefault="00817704" w:rsidP="00167721">
            <w:pPr>
              <w:spacing w:before="120" w:after="120"/>
              <w:jc w:val="center"/>
              <w:rPr>
                <w:rFonts w:cs="Arial"/>
                <w:sz w:val="20"/>
                <w:szCs w:val="20"/>
              </w:rPr>
            </w:pPr>
            <w:r w:rsidRPr="00167721">
              <w:rPr>
                <w:rFonts w:cs="Arial"/>
                <w:sz w:val="20"/>
                <w:szCs w:val="20"/>
              </w:rPr>
              <w:t>Students’ tabulate their own data and that of their partner and display it in different ways graphically. (stem and leaf plots and histograms)</w:t>
            </w:r>
          </w:p>
        </w:tc>
        <w:tc>
          <w:tcPr>
            <w:tcW w:w="1619" w:type="pct"/>
            <w:vAlign w:val="center"/>
          </w:tcPr>
          <w:p w14:paraId="6063F64D" w14:textId="77777777" w:rsidR="00817704" w:rsidRDefault="00817704" w:rsidP="00167721">
            <w:pPr>
              <w:spacing w:before="120" w:after="120"/>
              <w:jc w:val="center"/>
              <w:rPr>
                <w:rFonts w:cs="Arial"/>
                <w:sz w:val="20"/>
                <w:szCs w:val="20"/>
              </w:rPr>
            </w:pPr>
            <w:r w:rsidRPr="00167721">
              <w:rPr>
                <w:rFonts w:cs="Arial"/>
                <w:b/>
                <w:sz w:val="20"/>
                <w:szCs w:val="20"/>
              </w:rPr>
              <w:t>Practical activity 2</w:t>
            </w:r>
            <w:r w:rsidRPr="00167721">
              <w:rPr>
                <w:rFonts w:cs="Arial"/>
                <w:sz w:val="20"/>
                <w:szCs w:val="20"/>
              </w:rPr>
              <w:t xml:space="preserve"> continued </w:t>
            </w:r>
          </w:p>
          <w:p w14:paraId="75ECD13E" w14:textId="77777777" w:rsidR="00817704" w:rsidRPr="00167721" w:rsidRDefault="00817704" w:rsidP="00167721">
            <w:pPr>
              <w:spacing w:before="120" w:after="120"/>
              <w:jc w:val="center"/>
              <w:rPr>
                <w:rFonts w:cs="Arial"/>
                <w:sz w:val="20"/>
                <w:szCs w:val="20"/>
              </w:rPr>
            </w:pPr>
            <w:r w:rsidRPr="00167721">
              <w:rPr>
                <w:rFonts w:cs="Arial"/>
                <w:sz w:val="20"/>
                <w:szCs w:val="20"/>
              </w:rPr>
              <w:t>Students discuss the question of who in their pair has the better reaction time using evidence from their gra</w:t>
            </w:r>
            <w:r w:rsidR="00E43B49">
              <w:rPr>
                <w:rFonts w:cs="Arial"/>
                <w:sz w:val="20"/>
                <w:szCs w:val="20"/>
              </w:rPr>
              <w:t xml:space="preserve">phs to support their argument. </w:t>
            </w:r>
            <w:r w:rsidRPr="00167721">
              <w:rPr>
                <w:rFonts w:cs="Arial"/>
                <w:sz w:val="20"/>
                <w:szCs w:val="20"/>
              </w:rPr>
              <w:t>Informal consideration of accuracy and consistency can lay the groundwork for the concepts of central tendenc</w:t>
            </w:r>
            <w:r w:rsidR="00E43B49">
              <w:rPr>
                <w:rFonts w:cs="Arial"/>
                <w:sz w:val="20"/>
                <w:szCs w:val="20"/>
              </w:rPr>
              <w:t>y and spread later in the topic</w:t>
            </w:r>
            <w:r w:rsidRPr="00167721">
              <w:rPr>
                <w:rFonts w:cs="Arial"/>
                <w:sz w:val="20"/>
                <w:szCs w:val="20"/>
              </w:rPr>
              <w:t>.</w:t>
            </w:r>
          </w:p>
          <w:p w14:paraId="19243F99" w14:textId="77777777" w:rsidR="00817704" w:rsidRPr="00167721" w:rsidRDefault="00817704" w:rsidP="00E43B49">
            <w:pPr>
              <w:spacing w:before="120" w:after="120"/>
              <w:jc w:val="center"/>
              <w:rPr>
                <w:rFonts w:cs="Arial"/>
                <w:sz w:val="20"/>
                <w:szCs w:val="20"/>
              </w:rPr>
            </w:pPr>
            <w:r w:rsidRPr="00167721">
              <w:rPr>
                <w:rFonts w:cs="Arial"/>
                <w:sz w:val="20"/>
                <w:szCs w:val="20"/>
              </w:rPr>
              <w:t>Further activities involving the representation of numerical data graphically</w:t>
            </w:r>
          </w:p>
        </w:tc>
      </w:tr>
      <w:tr w:rsidR="00817704" w:rsidRPr="007F4277" w14:paraId="0092A98D" w14:textId="77777777" w:rsidTr="00C6513C">
        <w:trPr>
          <w:trHeight w:val="825"/>
          <w:jc w:val="center"/>
        </w:trPr>
        <w:tc>
          <w:tcPr>
            <w:tcW w:w="306" w:type="pct"/>
            <w:shd w:val="clear" w:color="auto" w:fill="BFBFBF"/>
            <w:vAlign w:val="center"/>
          </w:tcPr>
          <w:p w14:paraId="41100E6F" w14:textId="77777777" w:rsidR="00817704" w:rsidRPr="00167721" w:rsidRDefault="00817704" w:rsidP="00167721">
            <w:pPr>
              <w:jc w:val="center"/>
              <w:rPr>
                <w:rFonts w:cs="Arial"/>
                <w:b/>
              </w:rPr>
            </w:pPr>
            <w:r w:rsidRPr="00167721">
              <w:rPr>
                <w:rFonts w:cs="Arial"/>
                <w:b/>
                <w:szCs w:val="22"/>
              </w:rPr>
              <w:t>Week 2</w:t>
            </w:r>
          </w:p>
          <w:p w14:paraId="20068787" w14:textId="77777777" w:rsidR="00817704" w:rsidRPr="00167721" w:rsidRDefault="00817704" w:rsidP="00167721">
            <w:pPr>
              <w:jc w:val="center"/>
              <w:rPr>
                <w:rFonts w:cs="Arial"/>
              </w:rPr>
            </w:pPr>
          </w:p>
        </w:tc>
        <w:tc>
          <w:tcPr>
            <w:tcW w:w="1489" w:type="pct"/>
            <w:vAlign w:val="center"/>
          </w:tcPr>
          <w:p w14:paraId="3589F94B" w14:textId="77777777" w:rsidR="00817704" w:rsidRPr="00167721" w:rsidRDefault="00817704" w:rsidP="00E43B49">
            <w:pPr>
              <w:spacing w:before="120" w:after="120"/>
              <w:jc w:val="center"/>
              <w:rPr>
                <w:rFonts w:cs="Arial"/>
                <w:sz w:val="20"/>
                <w:szCs w:val="20"/>
              </w:rPr>
            </w:pPr>
            <w:r w:rsidRPr="00167721">
              <w:rPr>
                <w:rFonts w:cs="Arial"/>
                <w:sz w:val="20"/>
                <w:szCs w:val="20"/>
              </w:rPr>
              <w:t>Line graphs</w:t>
            </w:r>
            <w:r w:rsidRPr="00167721">
              <w:rPr>
                <w:rFonts w:cs="Arial"/>
                <w:b/>
                <w:sz w:val="20"/>
                <w:szCs w:val="20"/>
              </w:rPr>
              <w:t xml:space="preserve"> – </w:t>
            </w:r>
            <w:r w:rsidR="00E43B49">
              <w:rPr>
                <w:rFonts w:cs="Arial"/>
                <w:sz w:val="20"/>
                <w:szCs w:val="20"/>
              </w:rPr>
              <w:t>D</w:t>
            </w:r>
            <w:r w:rsidRPr="00167721">
              <w:rPr>
                <w:rFonts w:cs="Arial"/>
                <w:sz w:val="20"/>
                <w:szCs w:val="20"/>
              </w:rPr>
              <w:t>isplaying continuous data</w:t>
            </w:r>
          </w:p>
        </w:tc>
        <w:tc>
          <w:tcPr>
            <w:tcW w:w="1586" w:type="pct"/>
            <w:vAlign w:val="center"/>
          </w:tcPr>
          <w:p w14:paraId="092D9561" w14:textId="77777777" w:rsidR="00817704" w:rsidRPr="00167721" w:rsidRDefault="00817704" w:rsidP="000C1125">
            <w:pPr>
              <w:spacing w:before="120" w:after="120"/>
              <w:rPr>
                <w:rFonts w:cs="Arial"/>
                <w:sz w:val="20"/>
                <w:szCs w:val="20"/>
              </w:rPr>
            </w:pPr>
            <w:r w:rsidRPr="00167721">
              <w:rPr>
                <w:rFonts w:cs="Arial"/>
                <w:sz w:val="20"/>
                <w:szCs w:val="20"/>
              </w:rPr>
              <w:t xml:space="preserve">Line </w:t>
            </w:r>
            <w:r w:rsidRPr="00E43B49">
              <w:rPr>
                <w:rFonts w:cs="Arial"/>
                <w:sz w:val="20"/>
                <w:szCs w:val="20"/>
              </w:rPr>
              <w:t xml:space="preserve">graphs </w:t>
            </w:r>
            <w:r w:rsidR="00E43B49" w:rsidRPr="00E43B49">
              <w:rPr>
                <w:rFonts w:cs="Arial"/>
                <w:sz w:val="20"/>
                <w:szCs w:val="20"/>
              </w:rPr>
              <w:t>– H</w:t>
            </w:r>
            <w:r w:rsidRPr="00E43B49">
              <w:rPr>
                <w:rFonts w:cs="Arial"/>
                <w:sz w:val="20"/>
                <w:szCs w:val="20"/>
              </w:rPr>
              <w:t>ow</w:t>
            </w:r>
            <w:r w:rsidRPr="00167721">
              <w:rPr>
                <w:rFonts w:cs="Arial"/>
                <w:sz w:val="20"/>
                <w:szCs w:val="20"/>
              </w:rPr>
              <w:t xml:space="preserve"> do we use them</w:t>
            </w:r>
            <w:r w:rsidR="00E43B49">
              <w:rPr>
                <w:rFonts w:cs="Arial"/>
                <w:sz w:val="20"/>
                <w:szCs w:val="20"/>
              </w:rPr>
              <w:t>?</w:t>
            </w:r>
          </w:p>
          <w:p w14:paraId="34C869A1" w14:textId="77777777" w:rsidR="00817704" w:rsidRPr="00261BF2" w:rsidRDefault="00E43B49" w:rsidP="00261BF2">
            <w:pPr>
              <w:pStyle w:val="ListParagraph"/>
              <w:numPr>
                <w:ilvl w:val="0"/>
                <w:numId w:val="12"/>
              </w:numPr>
              <w:spacing w:before="60" w:after="60"/>
              <w:rPr>
                <w:rFonts w:ascii="Arial" w:hAnsi="Arial" w:cs="Arial"/>
                <w:sz w:val="20"/>
                <w:szCs w:val="20"/>
              </w:rPr>
            </w:pPr>
            <w:r>
              <w:rPr>
                <w:rFonts w:ascii="Arial" w:hAnsi="Arial" w:cs="Arial"/>
                <w:sz w:val="20"/>
                <w:szCs w:val="20"/>
              </w:rPr>
              <w:t>G</w:t>
            </w:r>
            <w:r w:rsidR="00817704" w:rsidRPr="00C6513C">
              <w:rPr>
                <w:rFonts w:ascii="Arial" w:hAnsi="Arial" w:cs="Arial"/>
                <w:sz w:val="20"/>
                <w:szCs w:val="20"/>
              </w:rPr>
              <w:t>rowth charts</w:t>
            </w:r>
          </w:p>
          <w:p w14:paraId="07891298" w14:textId="77777777" w:rsidR="00817704" w:rsidRPr="00261BF2" w:rsidRDefault="00E43B49" w:rsidP="00261BF2">
            <w:pPr>
              <w:pStyle w:val="ListParagraph"/>
              <w:numPr>
                <w:ilvl w:val="0"/>
                <w:numId w:val="12"/>
              </w:numPr>
              <w:spacing w:before="60" w:after="60"/>
              <w:rPr>
                <w:rFonts w:ascii="Arial" w:hAnsi="Arial" w:cs="Arial"/>
                <w:sz w:val="20"/>
                <w:szCs w:val="20"/>
              </w:rPr>
            </w:pPr>
            <w:r>
              <w:rPr>
                <w:rFonts w:ascii="Arial" w:hAnsi="Arial" w:cs="Arial"/>
                <w:sz w:val="20"/>
                <w:szCs w:val="20"/>
              </w:rPr>
              <w:t>S</w:t>
            </w:r>
            <w:r w:rsidR="00817704" w:rsidRPr="00C6513C">
              <w:rPr>
                <w:rFonts w:ascii="Arial" w:hAnsi="Arial" w:cs="Arial"/>
                <w:sz w:val="20"/>
                <w:szCs w:val="20"/>
              </w:rPr>
              <w:t>hare prices</w:t>
            </w:r>
          </w:p>
          <w:p w14:paraId="309B012D" w14:textId="77777777" w:rsidR="00817704" w:rsidRPr="00C6513C" w:rsidRDefault="00E43B49" w:rsidP="00E43B49">
            <w:pPr>
              <w:pStyle w:val="ListParagraph"/>
              <w:numPr>
                <w:ilvl w:val="0"/>
                <w:numId w:val="12"/>
              </w:numPr>
              <w:spacing w:before="60" w:after="60"/>
              <w:rPr>
                <w:rFonts w:ascii="Arial" w:hAnsi="Arial" w:cs="Arial"/>
                <w:sz w:val="20"/>
                <w:szCs w:val="20"/>
                <w:lang w:val="en-US"/>
              </w:rPr>
            </w:pPr>
            <w:r>
              <w:rPr>
                <w:rFonts w:ascii="Arial" w:hAnsi="Arial" w:cs="Arial"/>
                <w:sz w:val="20"/>
                <w:szCs w:val="20"/>
              </w:rPr>
              <w:lastRenderedPageBreak/>
              <w:t>T</w:t>
            </w:r>
            <w:r w:rsidR="00817704" w:rsidRPr="00C6513C">
              <w:rPr>
                <w:rFonts w:ascii="Arial" w:hAnsi="Arial" w:cs="Arial"/>
                <w:sz w:val="20"/>
                <w:szCs w:val="20"/>
              </w:rPr>
              <w:t>emperature over a 24</w:t>
            </w:r>
            <w:r>
              <w:rPr>
                <w:rFonts w:ascii="Arial" w:hAnsi="Arial" w:cs="Arial"/>
                <w:sz w:val="20"/>
                <w:szCs w:val="20"/>
              </w:rPr>
              <w:t>-</w:t>
            </w:r>
            <w:r w:rsidR="00817704" w:rsidRPr="00C6513C">
              <w:rPr>
                <w:rFonts w:ascii="Arial" w:hAnsi="Arial" w:cs="Arial"/>
                <w:sz w:val="20"/>
                <w:szCs w:val="20"/>
              </w:rPr>
              <w:t>hour period</w:t>
            </w:r>
          </w:p>
        </w:tc>
        <w:tc>
          <w:tcPr>
            <w:tcW w:w="1619" w:type="pct"/>
            <w:vAlign w:val="center"/>
          </w:tcPr>
          <w:p w14:paraId="4588D86A" w14:textId="77777777" w:rsidR="00817704" w:rsidRPr="00167721" w:rsidRDefault="00817704" w:rsidP="00167721">
            <w:pPr>
              <w:spacing w:before="120" w:after="120"/>
              <w:jc w:val="center"/>
              <w:rPr>
                <w:rFonts w:cs="Arial"/>
                <w:sz w:val="20"/>
                <w:szCs w:val="20"/>
              </w:rPr>
            </w:pPr>
            <w:r w:rsidRPr="00167721">
              <w:rPr>
                <w:rFonts w:cs="Arial"/>
                <w:sz w:val="20"/>
                <w:szCs w:val="20"/>
              </w:rPr>
              <w:lastRenderedPageBreak/>
              <w:t xml:space="preserve">Charts presented in media and texts, including looking at the ways in which data can be misrepresented. The ABS has a worksheet available at: </w:t>
            </w:r>
          </w:p>
          <w:p w14:paraId="2DE335C6" w14:textId="77777777" w:rsidR="00817704" w:rsidRPr="00167721" w:rsidRDefault="00000000" w:rsidP="00167721">
            <w:pPr>
              <w:spacing w:before="120" w:after="120"/>
              <w:jc w:val="center"/>
              <w:rPr>
                <w:rFonts w:cs="Arial"/>
                <w:sz w:val="20"/>
                <w:szCs w:val="20"/>
              </w:rPr>
            </w:pPr>
            <w:hyperlink r:id="rId12" w:history="1">
              <w:r w:rsidR="00817704" w:rsidRPr="00167721">
                <w:rPr>
                  <w:rStyle w:val="Hyperlink"/>
                  <w:rFonts w:cs="Arial"/>
                  <w:sz w:val="20"/>
                  <w:szCs w:val="20"/>
                </w:rPr>
                <w:t>http://www.abs.gov.au/websitedbs/CaSHome.nsf/Home/MAT06+Misleading+Graphs</w:t>
              </w:r>
            </w:hyperlink>
          </w:p>
        </w:tc>
      </w:tr>
      <w:tr w:rsidR="00817704" w:rsidRPr="007F4277" w14:paraId="0F9E07DD" w14:textId="77777777" w:rsidTr="00C6513C">
        <w:trPr>
          <w:trHeight w:val="825"/>
          <w:jc w:val="center"/>
        </w:trPr>
        <w:tc>
          <w:tcPr>
            <w:tcW w:w="306" w:type="pct"/>
            <w:shd w:val="clear" w:color="auto" w:fill="BFBFBF"/>
            <w:vAlign w:val="center"/>
          </w:tcPr>
          <w:p w14:paraId="157F37AE" w14:textId="77777777" w:rsidR="00817704" w:rsidRPr="00167721" w:rsidRDefault="00817704" w:rsidP="00167721">
            <w:pPr>
              <w:jc w:val="center"/>
              <w:rPr>
                <w:rFonts w:cs="Arial"/>
                <w:b/>
              </w:rPr>
            </w:pPr>
            <w:r w:rsidRPr="00167721">
              <w:rPr>
                <w:rFonts w:cs="Arial"/>
                <w:b/>
                <w:szCs w:val="22"/>
              </w:rPr>
              <w:lastRenderedPageBreak/>
              <w:t>Week 3</w:t>
            </w:r>
          </w:p>
          <w:p w14:paraId="4C87BD31" w14:textId="77777777" w:rsidR="00817704" w:rsidRPr="00167721" w:rsidRDefault="00817704" w:rsidP="00167721">
            <w:pPr>
              <w:jc w:val="center"/>
              <w:rPr>
                <w:rFonts w:cs="Arial"/>
              </w:rPr>
            </w:pPr>
          </w:p>
        </w:tc>
        <w:tc>
          <w:tcPr>
            <w:tcW w:w="1489" w:type="pct"/>
            <w:vAlign w:val="center"/>
          </w:tcPr>
          <w:p w14:paraId="0E71E1E0" w14:textId="77777777" w:rsidR="00817704" w:rsidRPr="00167721" w:rsidRDefault="00817704" w:rsidP="00E43B49">
            <w:pPr>
              <w:spacing w:before="120" w:after="120"/>
              <w:jc w:val="center"/>
              <w:rPr>
                <w:rFonts w:cs="Arial"/>
                <w:sz w:val="20"/>
                <w:szCs w:val="20"/>
              </w:rPr>
            </w:pPr>
            <w:r w:rsidRPr="00167721">
              <w:rPr>
                <w:rFonts w:cs="Arial"/>
                <w:sz w:val="20"/>
                <w:szCs w:val="20"/>
              </w:rPr>
              <w:t xml:space="preserve">Begin with the data collected in </w:t>
            </w:r>
            <w:r>
              <w:rPr>
                <w:rFonts w:cs="Arial"/>
                <w:sz w:val="20"/>
                <w:szCs w:val="20"/>
              </w:rPr>
              <w:t>practical activity 2</w:t>
            </w:r>
            <w:r w:rsidR="00E43B49">
              <w:rPr>
                <w:rFonts w:cs="Arial"/>
                <w:sz w:val="20"/>
                <w:szCs w:val="20"/>
              </w:rPr>
              <w:t>:</w:t>
            </w:r>
            <w:r w:rsidRPr="00167721">
              <w:rPr>
                <w:rFonts w:cs="Arial"/>
                <w:sz w:val="20"/>
                <w:szCs w:val="20"/>
              </w:rPr>
              <w:t xml:space="preserve"> students consider how they can calculate the ‘typical’ reaction time of each student so that their performances can be compared. (Median </w:t>
            </w:r>
            <w:r w:rsidR="00E43B49">
              <w:rPr>
                <w:rFonts w:cs="Arial"/>
                <w:sz w:val="20"/>
                <w:szCs w:val="20"/>
              </w:rPr>
              <w:t>and</w:t>
            </w:r>
            <w:r w:rsidRPr="00167721">
              <w:rPr>
                <w:rFonts w:cs="Arial"/>
                <w:sz w:val="20"/>
                <w:szCs w:val="20"/>
              </w:rPr>
              <w:t xml:space="preserve"> Mean) </w:t>
            </w:r>
          </w:p>
          <w:p w14:paraId="41F2FABC" w14:textId="77777777" w:rsidR="00817704" w:rsidRPr="00167721" w:rsidRDefault="00817704" w:rsidP="00167721">
            <w:pPr>
              <w:spacing w:before="120" w:after="120"/>
              <w:jc w:val="center"/>
              <w:rPr>
                <w:rFonts w:cs="Arial"/>
                <w:sz w:val="20"/>
                <w:szCs w:val="20"/>
              </w:rPr>
            </w:pPr>
            <w:r w:rsidRPr="00167721">
              <w:rPr>
                <w:rFonts w:cs="Arial"/>
                <w:sz w:val="20"/>
                <w:szCs w:val="20"/>
              </w:rPr>
              <w:t>F</w:t>
            </w:r>
            <w:r w:rsidR="00E43B49">
              <w:rPr>
                <w:rFonts w:cs="Arial"/>
                <w:sz w:val="20"/>
                <w:szCs w:val="20"/>
              </w:rPr>
              <w:t>urther problems as time permits</w:t>
            </w:r>
          </w:p>
        </w:tc>
        <w:tc>
          <w:tcPr>
            <w:tcW w:w="1586" w:type="pct"/>
            <w:vAlign w:val="center"/>
          </w:tcPr>
          <w:p w14:paraId="2189C628" w14:textId="77777777" w:rsidR="00817704" w:rsidRPr="00167721" w:rsidRDefault="00817704" w:rsidP="00E43B49">
            <w:pPr>
              <w:spacing w:before="120" w:after="120"/>
              <w:jc w:val="center"/>
              <w:rPr>
                <w:rFonts w:cs="Arial"/>
                <w:sz w:val="20"/>
                <w:szCs w:val="20"/>
              </w:rPr>
            </w:pPr>
            <w:r w:rsidRPr="00167721">
              <w:rPr>
                <w:rFonts w:cs="Arial"/>
                <w:sz w:val="20"/>
                <w:szCs w:val="20"/>
              </w:rPr>
              <w:t>Begin with the data collected in practical activity 1</w:t>
            </w:r>
            <w:r w:rsidR="00E43B49">
              <w:rPr>
                <w:rFonts w:cs="Arial"/>
                <w:sz w:val="20"/>
                <w:szCs w:val="20"/>
              </w:rPr>
              <w:t>:</w:t>
            </w:r>
            <w:r w:rsidRPr="00167721">
              <w:rPr>
                <w:rFonts w:cs="Arial"/>
                <w:sz w:val="20"/>
                <w:szCs w:val="20"/>
              </w:rPr>
              <w:t xml:space="preserve"> students consider how they can determine the best representative for each data set collected when an avera</w:t>
            </w:r>
            <w:r>
              <w:rPr>
                <w:rFonts w:cs="Arial"/>
                <w:sz w:val="20"/>
                <w:szCs w:val="20"/>
              </w:rPr>
              <w:t>ge value cannot be calculated. (Mode or M</w:t>
            </w:r>
            <w:r w:rsidRPr="00167721">
              <w:rPr>
                <w:rFonts w:cs="Arial"/>
                <w:sz w:val="20"/>
                <w:szCs w:val="20"/>
              </w:rPr>
              <w:t>odal group)</w:t>
            </w:r>
          </w:p>
          <w:p w14:paraId="3D83A76D" w14:textId="77777777" w:rsidR="00817704" w:rsidRPr="00167721" w:rsidRDefault="00817704" w:rsidP="00167721">
            <w:pPr>
              <w:spacing w:before="120" w:after="120"/>
              <w:jc w:val="center"/>
              <w:rPr>
                <w:rFonts w:cs="Arial"/>
                <w:b/>
                <w:color w:val="00B050"/>
                <w:sz w:val="20"/>
                <w:szCs w:val="20"/>
                <w:lang w:val="en-US"/>
              </w:rPr>
            </w:pPr>
            <w:r w:rsidRPr="00167721">
              <w:rPr>
                <w:rFonts w:cs="Arial"/>
                <w:sz w:val="20"/>
                <w:szCs w:val="20"/>
              </w:rPr>
              <w:t>Further problems involving measures of central tendency</w:t>
            </w:r>
          </w:p>
        </w:tc>
        <w:tc>
          <w:tcPr>
            <w:tcW w:w="1619" w:type="pct"/>
            <w:vAlign w:val="center"/>
          </w:tcPr>
          <w:p w14:paraId="7EBAD197" w14:textId="77777777" w:rsidR="00817704" w:rsidRPr="001978FC" w:rsidRDefault="00817704" w:rsidP="001978FC">
            <w:pPr>
              <w:spacing w:before="120" w:after="120"/>
              <w:jc w:val="center"/>
              <w:rPr>
                <w:rFonts w:cs="Arial"/>
                <w:sz w:val="20"/>
                <w:szCs w:val="20"/>
              </w:rPr>
            </w:pPr>
            <w:r w:rsidRPr="00167721">
              <w:rPr>
                <w:rFonts w:cs="Arial"/>
                <w:sz w:val="20"/>
                <w:szCs w:val="20"/>
              </w:rPr>
              <w:t xml:space="preserve">Outliers </w:t>
            </w:r>
            <w:r w:rsidR="00E43B49">
              <w:rPr>
                <w:rFonts w:cs="Arial"/>
                <w:sz w:val="20"/>
                <w:szCs w:val="20"/>
              </w:rPr>
              <w:t>and</w:t>
            </w:r>
            <w:r w:rsidRPr="00167721">
              <w:rPr>
                <w:rFonts w:cs="Arial"/>
                <w:sz w:val="20"/>
                <w:szCs w:val="20"/>
              </w:rPr>
              <w:t xml:space="preserve"> their effect on measures of central tendency</w:t>
            </w:r>
          </w:p>
          <w:p w14:paraId="60079B9E" w14:textId="77777777" w:rsidR="00817704" w:rsidRPr="001978FC" w:rsidRDefault="00817704" w:rsidP="00E43B49">
            <w:pPr>
              <w:spacing w:before="120" w:after="120"/>
              <w:jc w:val="center"/>
              <w:rPr>
                <w:rFonts w:cs="Arial"/>
                <w:sz w:val="20"/>
                <w:szCs w:val="20"/>
              </w:rPr>
            </w:pPr>
            <w:r w:rsidRPr="001978FC">
              <w:rPr>
                <w:rFonts w:cs="Arial"/>
                <w:sz w:val="20"/>
                <w:szCs w:val="20"/>
              </w:rPr>
              <w:t>Students consider the idea of measuring ‘consistency’ in the reaction time data collected previously using range and interquartile range.</w:t>
            </w:r>
          </w:p>
          <w:p w14:paraId="1EE9EFB7" w14:textId="77777777" w:rsidR="00817704" w:rsidRPr="00167721" w:rsidRDefault="00817704" w:rsidP="00E43B49">
            <w:pPr>
              <w:spacing w:before="120" w:after="120"/>
              <w:jc w:val="center"/>
              <w:rPr>
                <w:rFonts w:cs="Arial"/>
                <w:b/>
                <w:sz w:val="20"/>
                <w:szCs w:val="20"/>
              </w:rPr>
            </w:pPr>
            <w:r w:rsidRPr="001978FC">
              <w:rPr>
                <w:rFonts w:cs="Arial"/>
                <w:b/>
                <w:sz w:val="20"/>
                <w:szCs w:val="20"/>
              </w:rPr>
              <w:t>Learning activity</w:t>
            </w:r>
            <w:r w:rsidRPr="001978FC">
              <w:rPr>
                <w:rFonts w:cs="Arial"/>
                <w:sz w:val="20"/>
                <w:szCs w:val="20"/>
              </w:rPr>
              <w:t xml:space="preserve"> </w:t>
            </w:r>
            <w:r w:rsidR="00E43B49">
              <w:rPr>
                <w:rFonts w:cs="Arial"/>
                <w:sz w:val="20"/>
                <w:szCs w:val="20"/>
              </w:rPr>
              <w:t xml:space="preserve">– </w:t>
            </w:r>
            <w:r w:rsidRPr="001978FC">
              <w:rPr>
                <w:rFonts w:cs="Arial"/>
                <w:sz w:val="20"/>
                <w:szCs w:val="20"/>
              </w:rPr>
              <w:t xml:space="preserve">Standard Deviation </w:t>
            </w:r>
            <w:r w:rsidRPr="00E43B49">
              <w:rPr>
                <w:rFonts w:cs="Arial"/>
                <w:i/>
                <w:iCs/>
                <w:sz w:val="20"/>
                <w:szCs w:val="20"/>
              </w:rPr>
              <w:t>(see support materials for details)</w:t>
            </w:r>
          </w:p>
        </w:tc>
      </w:tr>
      <w:tr w:rsidR="00817704" w:rsidRPr="007F4277" w14:paraId="57CEEFEE" w14:textId="77777777" w:rsidTr="00C6513C">
        <w:trPr>
          <w:trHeight w:val="1126"/>
          <w:jc w:val="center"/>
        </w:trPr>
        <w:tc>
          <w:tcPr>
            <w:tcW w:w="306" w:type="pct"/>
            <w:shd w:val="clear" w:color="auto" w:fill="BFBFBF"/>
            <w:vAlign w:val="center"/>
          </w:tcPr>
          <w:p w14:paraId="3CA06E98" w14:textId="77777777" w:rsidR="00817704" w:rsidRPr="00167721" w:rsidRDefault="00817704" w:rsidP="00167721">
            <w:pPr>
              <w:jc w:val="center"/>
              <w:rPr>
                <w:rFonts w:cs="Arial"/>
                <w:b/>
              </w:rPr>
            </w:pPr>
            <w:r w:rsidRPr="00167721">
              <w:rPr>
                <w:rFonts w:cs="Arial"/>
                <w:b/>
                <w:szCs w:val="22"/>
              </w:rPr>
              <w:t>Week 4</w:t>
            </w:r>
          </w:p>
          <w:p w14:paraId="71BF97BB" w14:textId="77777777" w:rsidR="00817704" w:rsidRPr="00167721" w:rsidRDefault="00817704" w:rsidP="00167721">
            <w:pPr>
              <w:jc w:val="center"/>
              <w:rPr>
                <w:rFonts w:cs="Arial"/>
              </w:rPr>
            </w:pPr>
          </w:p>
        </w:tc>
        <w:tc>
          <w:tcPr>
            <w:tcW w:w="1489" w:type="pct"/>
            <w:vAlign w:val="center"/>
          </w:tcPr>
          <w:p w14:paraId="5E2CCAF5" w14:textId="77777777" w:rsidR="00817704" w:rsidRPr="001978FC" w:rsidRDefault="00817704" w:rsidP="00E43B49">
            <w:pPr>
              <w:spacing w:before="120" w:after="120"/>
              <w:jc w:val="center"/>
              <w:rPr>
                <w:rFonts w:cs="Arial"/>
                <w:sz w:val="20"/>
                <w:szCs w:val="20"/>
              </w:rPr>
            </w:pPr>
            <w:r w:rsidRPr="001978FC">
              <w:rPr>
                <w:rFonts w:cs="Arial"/>
                <w:sz w:val="20"/>
                <w:szCs w:val="20"/>
              </w:rPr>
              <w:t>Further problems involving measures of spread</w:t>
            </w:r>
          </w:p>
          <w:p w14:paraId="7772F3BD" w14:textId="77777777" w:rsidR="00817704" w:rsidRDefault="00817704" w:rsidP="00E43B49">
            <w:pPr>
              <w:spacing w:before="120" w:after="120"/>
              <w:jc w:val="center"/>
              <w:rPr>
                <w:rFonts w:cs="Arial"/>
                <w:sz w:val="20"/>
                <w:szCs w:val="20"/>
              </w:rPr>
            </w:pPr>
            <w:r w:rsidRPr="001978FC">
              <w:rPr>
                <w:rFonts w:cs="Arial"/>
                <w:sz w:val="20"/>
                <w:szCs w:val="20"/>
              </w:rPr>
              <w:t>Discussion of the sensitivity to outliers of the various measures of central tendency and spread</w:t>
            </w:r>
          </w:p>
          <w:p w14:paraId="0FFD9898" w14:textId="77777777" w:rsidR="00817704" w:rsidRPr="001978FC" w:rsidRDefault="00817704" w:rsidP="00167721">
            <w:pPr>
              <w:spacing w:before="120" w:after="120"/>
              <w:jc w:val="center"/>
              <w:rPr>
                <w:rFonts w:cs="Arial"/>
                <w:sz w:val="20"/>
                <w:szCs w:val="20"/>
              </w:rPr>
            </w:pPr>
            <w:r w:rsidRPr="001978FC">
              <w:rPr>
                <w:rFonts w:cs="Arial"/>
                <w:sz w:val="20"/>
                <w:szCs w:val="20"/>
              </w:rPr>
              <w:t xml:space="preserve"> </w:t>
            </w:r>
          </w:p>
        </w:tc>
        <w:tc>
          <w:tcPr>
            <w:tcW w:w="1586" w:type="pct"/>
            <w:vAlign w:val="center"/>
          </w:tcPr>
          <w:p w14:paraId="0ED3A74F" w14:textId="77777777" w:rsidR="00817704" w:rsidRPr="00167721" w:rsidRDefault="00817704" w:rsidP="00F56CF7">
            <w:pPr>
              <w:spacing w:before="120" w:after="120"/>
              <w:jc w:val="center"/>
              <w:rPr>
                <w:rFonts w:cs="Arial"/>
                <w:b/>
                <w:color w:val="FF0000"/>
              </w:rPr>
            </w:pPr>
            <w:r w:rsidRPr="00167721">
              <w:rPr>
                <w:rFonts w:cs="Arial"/>
                <w:b/>
                <w:color w:val="FF0000"/>
                <w:szCs w:val="22"/>
              </w:rPr>
              <w:t>FOLIO ONE</w:t>
            </w:r>
          </w:p>
          <w:p w14:paraId="68C63BFE" w14:textId="77777777" w:rsidR="00817704" w:rsidRPr="001978FC" w:rsidRDefault="00817704" w:rsidP="00E43B49">
            <w:pPr>
              <w:spacing w:before="120" w:after="120"/>
              <w:jc w:val="center"/>
              <w:rPr>
                <w:rFonts w:cs="Arial"/>
                <w:sz w:val="20"/>
                <w:szCs w:val="20"/>
                <w:lang w:val="en-US"/>
              </w:rPr>
            </w:pPr>
            <w:r w:rsidRPr="00167721">
              <w:rPr>
                <w:rFonts w:cs="Arial"/>
                <w:b/>
                <w:sz w:val="20"/>
                <w:szCs w:val="20"/>
              </w:rPr>
              <w:t>Quality control in manufacturing</w:t>
            </w:r>
            <w:r>
              <w:rPr>
                <w:rFonts w:cs="Arial"/>
                <w:b/>
                <w:sz w:val="20"/>
                <w:szCs w:val="20"/>
              </w:rPr>
              <w:t xml:space="preserve"> – </w:t>
            </w:r>
            <w:r w:rsidR="00E43B49">
              <w:rPr>
                <w:rFonts w:cs="Arial"/>
                <w:b/>
                <w:sz w:val="20"/>
                <w:szCs w:val="20"/>
              </w:rPr>
              <w:t>Consistency in B</w:t>
            </w:r>
            <w:r>
              <w:rPr>
                <w:rFonts w:cs="Arial"/>
                <w:b/>
                <w:sz w:val="20"/>
                <w:szCs w:val="20"/>
              </w:rPr>
              <w:t xml:space="preserve">aking </w:t>
            </w:r>
          </w:p>
        </w:tc>
        <w:tc>
          <w:tcPr>
            <w:tcW w:w="1619" w:type="pct"/>
            <w:vAlign w:val="center"/>
          </w:tcPr>
          <w:p w14:paraId="17F86541" w14:textId="77777777" w:rsidR="00817704" w:rsidRPr="00167721" w:rsidRDefault="00817704" w:rsidP="00167721">
            <w:pPr>
              <w:spacing w:before="120" w:after="120"/>
              <w:jc w:val="center"/>
              <w:rPr>
                <w:rFonts w:cs="Arial"/>
                <w:sz w:val="20"/>
                <w:szCs w:val="20"/>
              </w:rPr>
            </w:pPr>
            <w:r w:rsidRPr="00167721">
              <w:rPr>
                <w:rFonts w:cs="Arial"/>
                <w:sz w:val="20"/>
                <w:szCs w:val="20"/>
              </w:rPr>
              <w:t xml:space="preserve">Describing data without statistical measure </w:t>
            </w:r>
          </w:p>
          <w:p w14:paraId="2F512A42" w14:textId="77777777" w:rsidR="00817704" w:rsidRPr="00167721" w:rsidRDefault="00817704" w:rsidP="00B6420B">
            <w:pPr>
              <w:spacing w:before="240" w:after="120"/>
              <w:jc w:val="center"/>
              <w:rPr>
                <w:rFonts w:cs="Arial"/>
                <w:color w:val="FF0000"/>
                <w:sz w:val="20"/>
                <w:szCs w:val="20"/>
                <w:lang w:val="en-US"/>
              </w:rPr>
            </w:pPr>
            <w:r w:rsidRPr="00167721">
              <w:rPr>
                <w:rFonts w:cs="Arial"/>
                <w:sz w:val="20"/>
                <w:szCs w:val="20"/>
              </w:rPr>
              <w:t>Revision</w:t>
            </w:r>
          </w:p>
        </w:tc>
      </w:tr>
      <w:tr w:rsidR="00817704" w:rsidRPr="007F4277" w14:paraId="31EFE542" w14:textId="77777777" w:rsidTr="00C6513C">
        <w:trPr>
          <w:trHeight w:val="1040"/>
          <w:jc w:val="center"/>
        </w:trPr>
        <w:tc>
          <w:tcPr>
            <w:tcW w:w="306" w:type="pct"/>
            <w:shd w:val="clear" w:color="auto" w:fill="BFBFBF"/>
            <w:vAlign w:val="center"/>
          </w:tcPr>
          <w:p w14:paraId="38D76204" w14:textId="77777777" w:rsidR="00817704" w:rsidRPr="00167721" w:rsidRDefault="00817704" w:rsidP="00167721">
            <w:pPr>
              <w:jc w:val="center"/>
              <w:rPr>
                <w:rFonts w:cs="Arial"/>
                <w:b/>
              </w:rPr>
            </w:pPr>
            <w:r w:rsidRPr="00167721">
              <w:rPr>
                <w:rFonts w:cs="Arial"/>
                <w:b/>
                <w:szCs w:val="22"/>
              </w:rPr>
              <w:t>Week 5</w:t>
            </w:r>
          </w:p>
          <w:p w14:paraId="39D80427" w14:textId="77777777" w:rsidR="00817704" w:rsidRPr="00167721" w:rsidRDefault="00817704" w:rsidP="00167721">
            <w:pPr>
              <w:jc w:val="center"/>
              <w:rPr>
                <w:rFonts w:cs="Arial"/>
              </w:rPr>
            </w:pPr>
          </w:p>
        </w:tc>
        <w:tc>
          <w:tcPr>
            <w:tcW w:w="1489" w:type="pct"/>
            <w:vAlign w:val="center"/>
          </w:tcPr>
          <w:p w14:paraId="2F2417B2" w14:textId="77777777" w:rsidR="00817704" w:rsidRPr="00167721" w:rsidRDefault="00817704" w:rsidP="001978FC">
            <w:pPr>
              <w:spacing w:before="120" w:after="120"/>
              <w:jc w:val="center"/>
              <w:rPr>
                <w:rFonts w:cs="Arial"/>
                <w:sz w:val="20"/>
                <w:szCs w:val="20"/>
              </w:rPr>
            </w:pPr>
            <w:r w:rsidRPr="00167721">
              <w:rPr>
                <w:rFonts w:cs="Arial"/>
                <w:b/>
                <w:color w:val="FF0000"/>
                <w:szCs w:val="22"/>
              </w:rPr>
              <w:t>DATA IN CONTEXT – SAT ONE</w:t>
            </w:r>
          </w:p>
        </w:tc>
        <w:tc>
          <w:tcPr>
            <w:tcW w:w="1586" w:type="pct"/>
            <w:vAlign w:val="center"/>
          </w:tcPr>
          <w:p w14:paraId="16ADE51A" w14:textId="77777777" w:rsidR="00817704" w:rsidRPr="00167721" w:rsidRDefault="00817704" w:rsidP="00F56CF7">
            <w:pPr>
              <w:spacing w:before="120" w:after="120"/>
              <w:jc w:val="center"/>
              <w:rPr>
                <w:rFonts w:cs="Arial"/>
                <w:sz w:val="20"/>
                <w:szCs w:val="20"/>
              </w:rPr>
            </w:pPr>
            <w:r w:rsidRPr="00167721">
              <w:rPr>
                <w:rFonts w:cs="Arial"/>
                <w:sz w:val="20"/>
                <w:szCs w:val="20"/>
              </w:rPr>
              <w:t>Characteristics and shapes of distributions</w:t>
            </w:r>
          </w:p>
          <w:p w14:paraId="283ADD54" w14:textId="77777777" w:rsidR="00817704" w:rsidRDefault="00817704" w:rsidP="00F56CF7">
            <w:pPr>
              <w:spacing w:before="120" w:after="120"/>
              <w:jc w:val="center"/>
              <w:rPr>
                <w:rFonts w:cs="Arial"/>
                <w:sz w:val="20"/>
                <w:szCs w:val="20"/>
              </w:rPr>
            </w:pPr>
            <w:r w:rsidRPr="00167721">
              <w:rPr>
                <w:rFonts w:cs="Arial"/>
                <w:sz w:val="20"/>
                <w:szCs w:val="20"/>
              </w:rPr>
              <w:t>(histograms, stem plots, dot plots)</w:t>
            </w:r>
          </w:p>
          <w:p w14:paraId="7549B2E8" w14:textId="77777777" w:rsidR="00817704" w:rsidRPr="00261BF2" w:rsidRDefault="00817704" w:rsidP="00261BF2">
            <w:pPr>
              <w:spacing w:before="120" w:after="120"/>
              <w:jc w:val="center"/>
              <w:rPr>
                <w:rFonts w:cs="Arial"/>
                <w:b/>
                <w:color w:val="FF0000"/>
              </w:rPr>
            </w:pPr>
          </w:p>
        </w:tc>
        <w:tc>
          <w:tcPr>
            <w:tcW w:w="1619" w:type="pct"/>
            <w:vAlign w:val="center"/>
          </w:tcPr>
          <w:p w14:paraId="276174DB" w14:textId="77777777" w:rsidR="00817704" w:rsidRPr="00167721" w:rsidRDefault="00817704" w:rsidP="00E43B49">
            <w:pPr>
              <w:spacing w:before="120" w:after="120"/>
              <w:jc w:val="center"/>
              <w:rPr>
                <w:rFonts w:cs="Arial"/>
                <w:sz w:val="20"/>
                <w:szCs w:val="20"/>
              </w:rPr>
            </w:pPr>
            <w:r w:rsidRPr="00167721">
              <w:rPr>
                <w:rFonts w:cs="Arial"/>
                <w:sz w:val="20"/>
                <w:szCs w:val="20"/>
              </w:rPr>
              <w:t>Five</w:t>
            </w:r>
            <w:r w:rsidR="00E43B49">
              <w:rPr>
                <w:rFonts w:cs="Arial"/>
                <w:sz w:val="20"/>
                <w:szCs w:val="20"/>
              </w:rPr>
              <w:t>-n</w:t>
            </w:r>
            <w:r w:rsidRPr="00167721">
              <w:rPr>
                <w:rFonts w:cs="Arial"/>
                <w:sz w:val="20"/>
                <w:szCs w:val="20"/>
              </w:rPr>
              <w:t xml:space="preserve">umber </w:t>
            </w:r>
            <w:r w:rsidR="00E43B49">
              <w:rPr>
                <w:rFonts w:cs="Arial"/>
                <w:sz w:val="20"/>
                <w:szCs w:val="20"/>
              </w:rPr>
              <w:t>s</w:t>
            </w:r>
            <w:r w:rsidRPr="00167721">
              <w:rPr>
                <w:rFonts w:cs="Arial"/>
                <w:sz w:val="20"/>
                <w:szCs w:val="20"/>
              </w:rPr>
              <w:t xml:space="preserve">ummary </w:t>
            </w:r>
            <w:r w:rsidR="00E43B49">
              <w:rPr>
                <w:rFonts w:cs="Arial"/>
                <w:sz w:val="20"/>
                <w:szCs w:val="20"/>
              </w:rPr>
              <w:t>and</w:t>
            </w:r>
            <w:r w:rsidRPr="00167721">
              <w:rPr>
                <w:rFonts w:cs="Arial"/>
                <w:sz w:val="20"/>
                <w:szCs w:val="20"/>
              </w:rPr>
              <w:t xml:space="preserve"> </w:t>
            </w:r>
            <w:r w:rsidR="00E43B49">
              <w:rPr>
                <w:rFonts w:cs="Arial"/>
                <w:sz w:val="20"/>
                <w:szCs w:val="20"/>
              </w:rPr>
              <w:t>b</w:t>
            </w:r>
            <w:r w:rsidRPr="00167721">
              <w:rPr>
                <w:rFonts w:cs="Arial"/>
                <w:sz w:val="20"/>
                <w:szCs w:val="20"/>
              </w:rPr>
              <w:t xml:space="preserve">ox </w:t>
            </w:r>
            <w:r w:rsidR="00E43B49">
              <w:rPr>
                <w:rFonts w:cs="Arial"/>
                <w:sz w:val="20"/>
                <w:szCs w:val="20"/>
              </w:rPr>
              <w:t>p</w:t>
            </w:r>
            <w:r w:rsidRPr="00167721">
              <w:rPr>
                <w:rFonts w:cs="Arial"/>
                <w:sz w:val="20"/>
                <w:szCs w:val="20"/>
              </w:rPr>
              <w:t>lots</w:t>
            </w:r>
          </w:p>
          <w:p w14:paraId="60CCB1B9" w14:textId="77777777" w:rsidR="00817704" w:rsidRDefault="00817704" w:rsidP="00F56CF7">
            <w:pPr>
              <w:spacing w:before="120" w:after="120"/>
              <w:jc w:val="center"/>
              <w:rPr>
                <w:rFonts w:cs="Arial"/>
                <w:sz w:val="20"/>
                <w:szCs w:val="20"/>
              </w:rPr>
            </w:pPr>
            <w:r w:rsidRPr="00167721">
              <w:rPr>
                <w:rFonts w:cs="Arial"/>
                <w:sz w:val="20"/>
                <w:szCs w:val="20"/>
              </w:rPr>
              <w:t>(including symmetry and skewedness)</w:t>
            </w:r>
          </w:p>
          <w:p w14:paraId="27CB00F1" w14:textId="77777777" w:rsidR="00817704" w:rsidRPr="00167721" w:rsidRDefault="00817704" w:rsidP="00F56CF7">
            <w:pPr>
              <w:spacing w:before="120" w:after="120"/>
              <w:jc w:val="center"/>
              <w:rPr>
                <w:rFonts w:cs="Arial"/>
                <w:sz w:val="20"/>
                <w:szCs w:val="20"/>
              </w:rPr>
            </w:pPr>
            <w:r w:rsidRPr="00167721">
              <w:rPr>
                <w:rFonts w:cs="Arial"/>
                <w:b/>
                <w:color w:val="FF0000"/>
                <w:szCs w:val="22"/>
              </w:rPr>
              <w:t>FOLIO ONE</w:t>
            </w:r>
          </w:p>
        </w:tc>
      </w:tr>
      <w:tr w:rsidR="00817704" w:rsidRPr="007F4277" w14:paraId="0B37E05A" w14:textId="77777777" w:rsidTr="00C6513C">
        <w:trPr>
          <w:trHeight w:val="1040"/>
          <w:jc w:val="center"/>
        </w:trPr>
        <w:tc>
          <w:tcPr>
            <w:tcW w:w="306" w:type="pct"/>
            <w:shd w:val="clear" w:color="auto" w:fill="BFBFBF"/>
            <w:vAlign w:val="center"/>
          </w:tcPr>
          <w:p w14:paraId="5B3AE84C" w14:textId="77777777" w:rsidR="00817704" w:rsidRPr="00167721" w:rsidRDefault="00817704" w:rsidP="00167721">
            <w:pPr>
              <w:jc w:val="center"/>
              <w:rPr>
                <w:rFonts w:cs="Arial"/>
                <w:b/>
              </w:rPr>
            </w:pPr>
            <w:r w:rsidRPr="00167721">
              <w:rPr>
                <w:rFonts w:cs="Arial"/>
                <w:b/>
                <w:szCs w:val="22"/>
              </w:rPr>
              <w:t>Week 6</w:t>
            </w:r>
          </w:p>
          <w:p w14:paraId="7DEE84D8" w14:textId="77777777" w:rsidR="00817704" w:rsidRPr="00167721" w:rsidRDefault="00817704" w:rsidP="00167721">
            <w:pPr>
              <w:jc w:val="center"/>
              <w:rPr>
                <w:rFonts w:cs="Arial"/>
                <w:b/>
                <w:sz w:val="20"/>
              </w:rPr>
            </w:pPr>
          </w:p>
        </w:tc>
        <w:tc>
          <w:tcPr>
            <w:tcW w:w="1489" w:type="pct"/>
            <w:vAlign w:val="center"/>
          </w:tcPr>
          <w:p w14:paraId="426B5F7C" w14:textId="77777777" w:rsidR="00817704" w:rsidRPr="00167721" w:rsidRDefault="00817704" w:rsidP="00E43B49">
            <w:pPr>
              <w:spacing w:before="120" w:after="120"/>
              <w:jc w:val="center"/>
              <w:rPr>
                <w:rFonts w:cs="Arial"/>
                <w:sz w:val="20"/>
                <w:szCs w:val="20"/>
              </w:rPr>
            </w:pPr>
            <w:r w:rsidRPr="00167721">
              <w:rPr>
                <w:rFonts w:cs="Arial"/>
                <w:sz w:val="20"/>
                <w:szCs w:val="20"/>
              </w:rPr>
              <w:t>Five</w:t>
            </w:r>
            <w:r w:rsidR="00E43B49">
              <w:rPr>
                <w:rFonts w:cs="Arial"/>
                <w:sz w:val="20"/>
                <w:szCs w:val="20"/>
              </w:rPr>
              <w:t>-n</w:t>
            </w:r>
            <w:r w:rsidRPr="00167721">
              <w:rPr>
                <w:rFonts w:cs="Arial"/>
                <w:sz w:val="20"/>
                <w:szCs w:val="20"/>
              </w:rPr>
              <w:t xml:space="preserve">umber </w:t>
            </w:r>
            <w:r w:rsidR="00E43B49">
              <w:rPr>
                <w:rFonts w:cs="Arial"/>
                <w:sz w:val="20"/>
                <w:szCs w:val="20"/>
              </w:rPr>
              <w:t>s</w:t>
            </w:r>
            <w:r w:rsidRPr="00167721">
              <w:rPr>
                <w:rFonts w:cs="Arial"/>
                <w:sz w:val="20"/>
                <w:szCs w:val="20"/>
              </w:rPr>
              <w:t xml:space="preserve">ummary </w:t>
            </w:r>
            <w:r w:rsidR="00E43B49">
              <w:rPr>
                <w:rFonts w:cs="Arial"/>
                <w:sz w:val="20"/>
                <w:szCs w:val="20"/>
              </w:rPr>
              <w:t>and</w:t>
            </w:r>
            <w:r w:rsidRPr="00167721">
              <w:rPr>
                <w:rFonts w:cs="Arial"/>
                <w:sz w:val="20"/>
                <w:szCs w:val="20"/>
              </w:rPr>
              <w:t xml:space="preserve"> </w:t>
            </w:r>
            <w:r w:rsidR="00E43B49">
              <w:rPr>
                <w:rFonts w:cs="Arial"/>
                <w:sz w:val="20"/>
                <w:szCs w:val="20"/>
              </w:rPr>
              <w:t>b</w:t>
            </w:r>
            <w:r w:rsidRPr="00167721">
              <w:rPr>
                <w:rFonts w:cs="Arial"/>
                <w:sz w:val="20"/>
                <w:szCs w:val="20"/>
              </w:rPr>
              <w:t xml:space="preserve">ox </w:t>
            </w:r>
            <w:r w:rsidR="00E43B49">
              <w:rPr>
                <w:rFonts w:cs="Arial"/>
                <w:sz w:val="20"/>
                <w:szCs w:val="20"/>
              </w:rPr>
              <w:t>p</w:t>
            </w:r>
            <w:r w:rsidRPr="00167721">
              <w:rPr>
                <w:rFonts w:cs="Arial"/>
                <w:sz w:val="20"/>
                <w:szCs w:val="20"/>
              </w:rPr>
              <w:t>lots continued</w:t>
            </w:r>
          </w:p>
          <w:p w14:paraId="2C3AEC31" w14:textId="77777777" w:rsidR="00817704" w:rsidRPr="00167721" w:rsidRDefault="00817704" w:rsidP="001978FC">
            <w:pPr>
              <w:spacing w:before="120" w:after="120"/>
              <w:jc w:val="center"/>
              <w:rPr>
                <w:rFonts w:cs="Arial"/>
                <w:sz w:val="20"/>
                <w:szCs w:val="20"/>
              </w:rPr>
            </w:pPr>
          </w:p>
        </w:tc>
        <w:tc>
          <w:tcPr>
            <w:tcW w:w="1586" w:type="pct"/>
            <w:vAlign w:val="center"/>
          </w:tcPr>
          <w:p w14:paraId="6B83ECF7" w14:textId="77777777" w:rsidR="00817704" w:rsidRPr="00167721" w:rsidRDefault="00817704" w:rsidP="00167721">
            <w:pPr>
              <w:spacing w:before="120" w:after="120"/>
              <w:jc w:val="center"/>
              <w:rPr>
                <w:rFonts w:cs="Arial"/>
                <w:sz w:val="20"/>
                <w:szCs w:val="20"/>
              </w:rPr>
            </w:pPr>
            <w:r w:rsidRPr="00167721">
              <w:rPr>
                <w:rFonts w:cs="Arial"/>
                <w:b/>
                <w:color w:val="FF0000"/>
                <w:szCs w:val="22"/>
              </w:rPr>
              <w:t>FOLIO ONE</w:t>
            </w:r>
          </w:p>
        </w:tc>
        <w:tc>
          <w:tcPr>
            <w:tcW w:w="1619" w:type="pct"/>
            <w:vAlign w:val="center"/>
          </w:tcPr>
          <w:p w14:paraId="3F269F6A" w14:textId="77777777" w:rsidR="00817704" w:rsidRPr="00167721" w:rsidRDefault="00817704" w:rsidP="00167721">
            <w:pPr>
              <w:spacing w:before="120" w:after="120"/>
              <w:jc w:val="center"/>
              <w:rPr>
                <w:rFonts w:cs="Arial"/>
                <w:b/>
                <w:color w:val="0070C0"/>
                <w:sz w:val="20"/>
                <w:szCs w:val="20"/>
                <w:u w:val="single"/>
              </w:rPr>
            </w:pPr>
            <w:r w:rsidRPr="00167721">
              <w:rPr>
                <w:rFonts w:cs="Arial"/>
                <w:b/>
                <w:color w:val="0070C0"/>
                <w:sz w:val="20"/>
                <w:szCs w:val="20"/>
                <w:u w:val="single"/>
              </w:rPr>
              <w:t xml:space="preserve">TOPIC FIVE: MEASUREMENT </w:t>
            </w:r>
          </w:p>
          <w:p w14:paraId="47BE7DB3" w14:textId="77777777" w:rsidR="00817704" w:rsidRPr="00167721" w:rsidRDefault="00E43B49" w:rsidP="00167721">
            <w:pPr>
              <w:spacing w:before="120" w:after="120"/>
              <w:jc w:val="center"/>
              <w:rPr>
                <w:rFonts w:cs="Arial"/>
                <w:sz w:val="20"/>
                <w:szCs w:val="20"/>
                <w:lang w:val="en-US"/>
              </w:rPr>
            </w:pPr>
            <w:r>
              <w:rPr>
                <w:rFonts w:cs="Arial"/>
                <w:sz w:val="20"/>
                <w:szCs w:val="20"/>
                <w:lang w:val="en-US"/>
              </w:rPr>
              <w:t>Review linear measurement</w:t>
            </w:r>
          </w:p>
          <w:p w14:paraId="71E90DD9" w14:textId="77777777" w:rsidR="00817704" w:rsidRPr="00167721" w:rsidRDefault="00817704" w:rsidP="000C1125">
            <w:pPr>
              <w:pStyle w:val="ListParagraph"/>
              <w:numPr>
                <w:ilvl w:val="0"/>
                <w:numId w:val="12"/>
              </w:numPr>
              <w:spacing w:before="60" w:after="60"/>
              <w:ind w:left="316" w:hanging="284"/>
              <w:rPr>
                <w:rFonts w:ascii="Arial" w:hAnsi="Arial" w:cs="Arial"/>
                <w:sz w:val="20"/>
                <w:szCs w:val="20"/>
              </w:rPr>
            </w:pPr>
            <w:r w:rsidRPr="00167721">
              <w:rPr>
                <w:rFonts w:ascii="Arial" w:hAnsi="Arial" w:cs="Arial"/>
                <w:sz w:val="20"/>
                <w:szCs w:val="20"/>
              </w:rPr>
              <w:t xml:space="preserve">Units </w:t>
            </w:r>
          </w:p>
          <w:p w14:paraId="14C52529" w14:textId="77777777" w:rsidR="00817704" w:rsidRPr="00167721" w:rsidRDefault="00817704" w:rsidP="000C1125">
            <w:pPr>
              <w:pStyle w:val="ListParagraph"/>
              <w:numPr>
                <w:ilvl w:val="0"/>
                <w:numId w:val="12"/>
              </w:numPr>
              <w:spacing w:before="60" w:after="60"/>
              <w:ind w:left="316" w:hanging="284"/>
              <w:rPr>
                <w:rFonts w:ascii="Arial" w:hAnsi="Arial" w:cs="Arial"/>
                <w:sz w:val="20"/>
                <w:szCs w:val="20"/>
              </w:rPr>
            </w:pPr>
            <w:r w:rsidRPr="00167721">
              <w:rPr>
                <w:rFonts w:ascii="Arial" w:hAnsi="Arial" w:cs="Arial"/>
                <w:sz w:val="20"/>
                <w:szCs w:val="20"/>
              </w:rPr>
              <w:t>Conversion between the units km, m, cm and mm</w:t>
            </w:r>
            <w:r w:rsidR="00E43B49">
              <w:rPr>
                <w:rFonts w:ascii="Arial" w:hAnsi="Arial" w:cs="Arial"/>
                <w:sz w:val="20"/>
                <w:szCs w:val="20"/>
              </w:rPr>
              <w:t>.</w:t>
            </w:r>
            <w:r w:rsidRPr="00167721">
              <w:rPr>
                <w:rFonts w:ascii="Arial" w:hAnsi="Arial" w:cs="Arial"/>
                <w:sz w:val="20"/>
                <w:szCs w:val="20"/>
              </w:rPr>
              <w:t xml:space="preserve"> Cover inches feet and miles if relevant to students </w:t>
            </w:r>
          </w:p>
          <w:p w14:paraId="6A2F5BF3" w14:textId="77777777" w:rsidR="00817704" w:rsidRPr="001978FC" w:rsidRDefault="00817704" w:rsidP="000C1125">
            <w:pPr>
              <w:pStyle w:val="ListParagraph"/>
              <w:numPr>
                <w:ilvl w:val="0"/>
                <w:numId w:val="12"/>
              </w:numPr>
              <w:spacing w:before="60" w:after="60"/>
              <w:ind w:left="316" w:hanging="284"/>
              <w:rPr>
                <w:rFonts w:ascii="Arial" w:hAnsi="Arial" w:cs="Arial"/>
                <w:sz w:val="20"/>
                <w:szCs w:val="20"/>
              </w:rPr>
            </w:pPr>
            <w:r w:rsidRPr="00167721">
              <w:rPr>
                <w:rFonts w:ascii="Arial" w:hAnsi="Arial" w:cs="Arial"/>
                <w:sz w:val="20"/>
                <w:szCs w:val="20"/>
              </w:rPr>
              <w:t>Devices for Measurements</w:t>
            </w:r>
          </w:p>
          <w:p w14:paraId="35E7731D" w14:textId="77777777" w:rsidR="00817704" w:rsidRPr="00167721" w:rsidRDefault="00817704" w:rsidP="000C1125">
            <w:pPr>
              <w:pStyle w:val="ListParagraph"/>
              <w:numPr>
                <w:ilvl w:val="0"/>
                <w:numId w:val="12"/>
              </w:numPr>
              <w:spacing w:before="60" w:after="120"/>
              <w:ind w:left="316" w:hanging="284"/>
              <w:rPr>
                <w:rFonts w:cs="Arial"/>
                <w:sz w:val="20"/>
                <w:szCs w:val="20"/>
              </w:rPr>
            </w:pPr>
            <w:r w:rsidRPr="001978FC">
              <w:rPr>
                <w:rFonts w:ascii="Arial" w:hAnsi="Arial" w:cs="Arial"/>
                <w:sz w:val="20"/>
                <w:szCs w:val="20"/>
              </w:rPr>
              <w:t>When to use estimates for measurements</w:t>
            </w:r>
          </w:p>
        </w:tc>
      </w:tr>
      <w:tr w:rsidR="00817704" w:rsidRPr="007F4277" w14:paraId="5A874C0E" w14:textId="77777777" w:rsidTr="00C6513C">
        <w:trPr>
          <w:trHeight w:val="1040"/>
          <w:jc w:val="center"/>
        </w:trPr>
        <w:tc>
          <w:tcPr>
            <w:tcW w:w="306" w:type="pct"/>
            <w:shd w:val="clear" w:color="auto" w:fill="BFBFBF"/>
            <w:vAlign w:val="center"/>
          </w:tcPr>
          <w:p w14:paraId="79A694BD" w14:textId="77777777" w:rsidR="00817704" w:rsidRPr="00167721" w:rsidRDefault="00817704" w:rsidP="00167721">
            <w:pPr>
              <w:jc w:val="center"/>
              <w:rPr>
                <w:rFonts w:cs="Arial"/>
                <w:b/>
              </w:rPr>
            </w:pPr>
            <w:r w:rsidRPr="00167721">
              <w:rPr>
                <w:rFonts w:cs="Arial"/>
                <w:b/>
                <w:szCs w:val="22"/>
              </w:rPr>
              <w:lastRenderedPageBreak/>
              <w:t>Week 7</w:t>
            </w:r>
          </w:p>
          <w:p w14:paraId="06A511C5" w14:textId="77777777" w:rsidR="00817704" w:rsidRPr="00167721" w:rsidRDefault="00817704" w:rsidP="00167721">
            <w:pPr>
              <w:jc w:val="center"/>
              <w:rPr>
                <w:rFonts w:cs="Arial"/>
                <w:b/>
                <w:sz w:val="20"/>
              </w:rPr>
            </w:pPr>
          </w:p>
        </w:tc>
        <w:tc>
          <w:tcPr>
            <w:tcW w:w="1489" w:type="pct"/>
            <w:vAlign w:val="center"/>
          </w:tcPr>
          <w:p w14:paraId="05A776D4" w14:textId="77777777" w:rsidR="00817704" w:rsidRPr="00167721" w:rsidRDefault="00817704" w:rsidP="00167721">
            <w:pPr>
              <w:spacing w:before="120" w:after="120"/>
              <w:jc w:val="center"/>
              <w:rPr>
                <w:rFonts w:cs="Arial"/>
                <w:sz w:val="20"/>
                <w:szCs w:val="20"/>
              </w:rPr>
            </w:pPr>
            <w:r w:rsidRPr="00167721">
              <w:rPr>
                <w:rFonts w:cs="Arial"/>
                <w:b/>
                <w:sz w:val="20"/>
                <w:szCs w:val="20"/>
              </w:rPr>
              <w:t>Practical Activity –</w:t>
            </w:r>
            <w:r w:rsidRPr="00167721">
              <w:rPr>
                <w:rFonts w:cs="Arial"/>
                <w:sz w:val="20"/>
                <w:szCs w:val="20"/>
              </w:rPr>
              <w:t xml:space="preserve"> estimation of distances</w:t>
            </w:r>
          </w:p>
          <w:p w14:paraId="048668B4" w14:textId="77777777" w:rsidR="00817704" w:rsidRPr="00E43B49" w:rsidRDefault="00817704" w:rsidP="00167721">
            <w:pPr>
              <w:spacing w:before="120" w:after="120"/>
              <w:jc w:val="center"/>
              <w:rPr>
                <w:rFonts w:cs="Arial"/>
                <w:i/>
                <w:iCs/>
                <w:sz w:val="20"/>
                <w:szCs w:val="20"/>
                <w:lang w:val="en-US"/>
              </w:rPr>
            </w:pPr>
            <w:r w:rsidRPr="00E43B49">
              <w:rPr>
                <w:rFonts w:cs="Arial"/>
                <w:i/>
                <w:iCs/>
                <w:sz w:val="20"/>
                <w:szCs w:val="20"/>
              </w:rPr>
              <w:t>(See support materials for activity)</w:t>
            </w:r>
          </w:p>
          <w:p w14:paraId="336B7205" w14:textId="77777777" w:rsidR="00817704" w:rsidRPr="00167721" w:rsidRDefault="00817704" w:rsidP="00167721">
            <w:pPr>
              <w:spacing w:before="120" w:after="120"/>
              <w:jc w:val="center"/>
              <w:rPr>
                <w:rFonts w:cs="Arial"/>
                <w:sz w:val="20"/>
                <w:szCs w:val="20"/>
                <w:lang w:val="en-US"/>
              </w:rPr>
            </w:pPr>
            <w:r w:rsidRPr="00167721">
              <w:rPr>
                <w:rFonts w:cs="Arial"/>
                <w:sz w:val="20"/>
                <w:szCs w:val="20"/>
                <w:lang w:val="en-US"/>
              </w:rPr>
              <w:t>Errors in measurement</w:t>
            </w:r>
          </w:p>
          <w:p w14:paraId="3C01FF3C" w14:textId="77777777" w:rsidR="00817704" w:rsidRPr="00167721" w:rsidRDefault="00817704" w:rsidP="00261BF2">
            <w:pPr>
              <w:pStyle w:val="ListParagraph"/>
              <w:numPr>
                <w:ilvl w:val="0"/>
                <w:numId w:val="12"/>
              </w:numPr>
              <w:spacing w:before="60" w:after="60"/>
              <w:rPr>
                <w:rFonts w:ascii="Arial" w:hAnsi="Arial" w:cs="Arial"/>
                <w:sz w:val="20"/>
                <w:szCs w:val="20"/>
              </w:rPr>
            </w:pPr>
            <w:r w:rsidRPr="00167721">
              <w:rPr>
                <w:rFonts w:ascii="Arial" w:hAnsi="Arial" w:cs="Arial"/>
                <w:sz w:val="20"/>
                <w:szCs w:val="20"/>
              </w:rPr>
              <w:t>Absolute errors</w:t>
            </w:r>
          </w:p>
          <w:p w14:paraId="33A97D56" w14:textId="77777777" w:rsidR="00817704" w:rsidRPr="00167721" w:rsidRDefault="00817704" w:rsidP="00D40A40">
            <w:pPr>
              <w:pStyle w:val="ListParagraph"/>
              <w:numPr>
                <w:ilvl w:val="0"/>
                <w:numId w:val="12"/>
              </w:numPr>
              <w:spacing w:before="60" w:after="120"/>
              <w:rPr>
                <w:rFonts w:ascii="Arial" w:hAnsi="Arial" w:cs="Arial"/>
                <w:sz w:val="20"/>
                <w:szCs w:val="20"/>
              </w:rPr>
            </w:pPr>
            <w:r w:rsidRPr="00167721">
              <w:rPr>
                <w:rFonts w:ascii="Arial" w:hAnsi="Arial" w:cs="Arial"/>
                <w:sz w:val="20"/>
                <w:szCs w:val="20"/>
              </w:rPr>
              <w:t>Relative errors</w:t>
            </w:r>
          </w:p>
        </w:tc>
        <w:tc>
          <w:tcPr>
            <w:tcW w:w="1586" w:type="pct"/>
            <w:vAlign w:val="center"/>
          </w:tcPr>
          <w:p w14:paraId="083A0C3C" w14:textId="77777777" w:rsidR="00817704" w:rsidRPr="00167721" w:rsidRDefault="00E43B49" w:rsidP="00167721">
            <w:pPr>
              <w:spacing w:before="120" w:after="120"/>
              <w:jc w:val="center"/>
              <w:rPr>
                <w:rFonts w:cs="Arial"/>
                <w:sz w:val="20"/>
                <w:szCs w:val="20"/>
              </w:rPr>
            </w:pPr>
            <w:r>
              <w:rPr>
                <w:rFonts w:cs="Arial"/>
                <w:sz w:val="20"/>
                <w:szCs w:val="20"/>
              </w:rPr>
              <w:t>Calculating p</w:t>
            </w:r>
            <w:r w:rsidR="00817704" w:rsidRPr="00167721">
              <w:rPr>
                <w:rFonts w:cs="Arial"/>
                <w:sz w:val="20"/>
                <w:szCs w:val="20"/>
              </w:rPr>
              <w:t>erimeter – Triangles, square</w:t>
            </w:r>
            <w:r>
              <w:rPr>
                <w:rFonts w:cs="Arial"/>
                <w:sz w:val="20"/>
                <w:szCs w:val="20"/>
              </w:rPr>
              <w:t>s</w:t>
            </w:r>
            <w:r w:rsidR="00817704" w:rsidRPr="00167721">
              <w:rPr>
                <w:rFonts w:cs="Arial"/>
                <w:sz w:val="20"/>
                <w:szCs w:val="20"/>
              </w:rPr>
              <w:t>, rectangle</w:t>
            </w:r>
            <w:r>
              <w:rPr>
                <w:rFonts w:cs="Arial"/>
                <w:sz w:val="20"/>
                <w:szCs w:val="20"/>
              </w:rPr>
              <w:t>s, with and without technology</w:t>
            </w:r>
          </w:p>
        </w:tc>
        <w:tc>
          <w:tcPr>
            <w:tcW w:w="1619" w:type="pct"/>
            <w:vAlign w:val="center"/>
          </w:tcPr>
          <w:p w14:paraId="35F411EB" w14:textId="77777777" w:rsidR="00817704" w:rsidRPr="00167721" w:rsidRDefault="00E43B49" w:rsidP="00167721">
            <w:pPr>
              <w:spacing w:before="120" w:after="120"/>
              <w:jc w:val="center"/>
              <w:rPr>
                <w:rFonts w:cs="Arial"/>
                <w:sz w:val="20"/>
                <w:szCs w:val="20"/>
              </w:rPr>
            </w:pPr>
            <w:r>
              <w:rPr>
                <w:rFonts w:cs="Arial"/>
                <w:sz w:val="20"/>
                <w:szCs w:val="20"/>
              </w:rPr>
              <w:t>Calculating p</w:t>
            </w:r>
            <w:r w:rsidR="00817704" w:rsidRPr="00167721">
              <w:rPr>
                <w:rFonts w:cs="Arial"/>
                <w:sz w:val="20"/>
                <w:szCs w:val="20"/>
              </w:rPr>
              <w:t>erimeter – Triangles, square</w:t>
            </w:r>
            <w:r>
              <w:rPr>
                <w:rFonts w:cs="Arial"/>
                <w:sz w:val="20"/>
                <w:szCs w:val="20"/>
              </w:rPr>
              <w:t>s</w:t>
            </w:r>
            <w:r w:rsidR="00817704" w:rsidRPr="00167721">
              <w:rPr>
                <w:rFonts w:cs="Arial"/>
                <w:sz w:val="20"/>
                <w:szCs w:val="20"/>
              </w:rPr>
              <w:t>, rectangle</w:t>
            </w:r>
            <w:r>
              <w:rPr>
                <w:rFonts w:cs="Arial"/>
                <w:sz w:val="20"/>
                <w:szCs w:val="20"/>
              </w:rPr>
              <w:t>s,</w:t>
            </w:r>
            <w:r w:rsidR="00817704" w:rsidRPr="00167721">
              <w:rPr>
                <w:rFonts w:cs="Arial"/>
                <w:sz w:val="20"/>
                <w:szCs w:val="20"/>
              </w:rPr>
              <w:t xml:space="preserve"> with </w:t>
            </w:r>
            <w:r>
              <w:rPr>
                <w:rFonts w:cs="Arial"/>
                <w:sz w:val="20"/>
                <w:szCs w:val="20"/>
              </w:rPr>
              <w:t>and without technology</w:t>
            </w:r>
          </w:p>
          <w:p w14:paraId="6F604015" w14:textId="77777777" w:rsidR="00817704" w:rsidRPr="00167721" w:rsidRDefault="00E43B49" w:rsidP="00167721">
            <w:pPr>
              <w:spacing w:before="120" w:after="120"/>
              <w:jc w:val="center"/>
              <w:rPr>
                <w:rFonts w:cs="Arial"/>
                <w:sz w:val="20"/>
                <w:szCs w:val="20"/>
              </w:rPr>
            </w:pPr>
            <w:r>
              <w:rPr>
                <w:rFonts w:cs="Arial"/>
                <w:sz w:val="20"/>
                <w:szCs w:val="20"/>
              </w:rPr>
              <w:t>Circumference of c</w:t>
            </w:r>
            <w:r w:rsidR="00817704" w:rsidRPr="00167721">
              <w:rPr>
                <w:rFonts w:cs="Arial"/>
                <w:sz w:val="20"/>
                <w:szCs w:val="20"/>
              </w:rPr>
              <w:t xml:space="preserve">ircles – introduced through </w:t>
            </w:r>
            <w:r>
              <w:rPr>
                <w:rFonts w:cs="Arial"/>
                <w:sz w:val="20"/>
                <w:szCs w:val="20"/>
              </w:rPr>
              <w:t>a practical measuring activity</w:t>
            </w:r>
          </w:p>
        </w:tc>
      </w:tr>
      <w:tr w:rsidR="00817704" w:rsidRPr="007F4277" w14:paraId="34FCA57D" w14:textId="77777777" w:rsidTr="00C6513C">
        <w:trPr>
          <w:trHeight w:val="1040"/>
          <w:jc w:val="center"/>
        </w:trPr>
        <w:tc>
          <w:tcPr>
            <w:tcW w:w="306" w:type="pct"/>
            <w:shd w:val="clear" w:color="auto" w:fill="BFBFBF"/>
            <w:vAlign w:val="center"/>
          </w:tcPr>
          <w:p w14:paraId="137D9A9E" w14:textId="77777777" w:rsidR="00817704" w:rsidRPr="00167721" w:rsidRDefault="00817704" w:rsidP="00167721">
            <w:pPr>
              <w:jc w:val="center"/>
              <w:rPr>
                <w:rFonts w:cs="Arial"/>
                <w:b/>
              </w:rPr>
            </w:pPr>
            <w:r w:rsidRPr="00167721">
              <w:rPr>
                <w:rFonts w:cs="Arial"/>
                <w:b/>
                <w:szCs w:val="22"/>
              </w:rPr>
              <w:t>Week 8</w:t>
            </w:r>
          </w:p>
          <w:p w14:paraId="54A15798" w14:textId="77777777" w:rsidR="00817704" w:rsidRPr="00167721" w:rsidRDefault="00817704" w:rsidP="00167721">
            <w:pPr>
              <w:jc w:val="center"/>
              <w:rPr>
                <w:rFonts w:cs="Arial"/>
                <w:b/>
                <w:sz w:val="20"/>
              </w:rPr>
            </w:pPr>
          </w:p>
        </w:tc>
        <w:tc>
          <w:tcPr>
            <w:tcW w:w="1489" w:type="pct"/>
            <w:vAlign w:val="center"/>
          </w:tcPr>
          <w:p w14:paraId="4CAA44E6" w14:textId="77777777" w:rsidR="00817704" w:rsidRPr="00167721" w:rsidRDefault="00817704" w:rsidP="00167721">
            <w:pPr>
              <w:spacing w:before="120" w:after="120"/>
              <w:jc w:val="center"/>
              <w:rPr>
                <w:rFonts w:cs="Arial"/>
                <w:sz w:val="20"/>
                <w:szCs w:val="20"/>
              </w:rPr>
            </w:pPr>
            <w:r w:rsidRPr="00167721">
              <w:rPr>
                <w:rFonts w:cs="Arial"/>
                <w:sz w:val="20"/>
                <w:szCs w:val="20"/>
              </w:rPr>
              <w:t>Problems involving circumference of circles (including rearranging the formula to find unknown radius/diameter)</w:t>
            </w:r>
          </w:p>
        </w:tc>
        <w:tc>
          <w:tcPr>
            <w:tcW w:w="1586" w:type="pct"/>
            <w:vAlign w:val="center"/>
          </w:tcPr>
          <w:p w14:paraId="3B220DDC" w14:textId="77777777" w:rsidR="00817704" w:rsidRPr="00167721" w:rsidRDefault="00817704" w:rsidP="00167721">
            <w:pPr>
              <w:spacing w:before="120" w:after="120"/>
              <w:jc w:val="center"/>
              <w:rPr>
                <w:rFonts w:cs="Arial"/>
                <w:sz w:val="20"/>
                <w:szCs w:val="20"/>
              </w:rPr>
            </w:pPr>
            <w:r w:rsidRPr="00167721">
              <w:rPr>
                <w:rFonts w:cs="Arial"/>
                <w:sz w:val="20"/>
                <w:szCs w:val="20"/>
                <w:lang w:val="en-US"/>
              </w:rPr>
              <w:t>Perimeter of more complex shapes (including composite shapes)</w:t>
            </w:r>
          </w:p>
        </w:tc>
        <w:tc>
          <w:tcPr>
            <w:tcW w:w="1619" w:type="pct"/>
            <w:vAlign w:val="center"/>
          </w:tcPr>
          <w:p w14:paraId="247A96C0" w14:textId="77777777" w:rsidR="00817704" w:rsidRPr="00167721" w:rsidRDefault="00817704" w:rsidP="00167721">
            <w:pPr>
              <w:spacing w:before="120" w:after="120"/>
              <w:jc w:val="center"/>
              <w:rPr>
                <w:rFonts w:cs="Arial"/>
                <w:sz w:val="20"/>
                <w:szCs w:val="20"/>
              </w:rPr>
            </w:pPr>
            <w:r w:rsidRPr="00167721">
              <w:rPr>
                <w:rFonts w:cs="Arial"/>
                <w:sz w:val="20"/>
                <w:szCs w:val="20"/>
              </w:rPr>
              <w:t>Area – What are the appropriate units for area and</w:t>
            </w:r>
            <w:r w:rsidR="00E43B49">
              <w:rPr>
                <w:rFonts w:cs="Arial"/>
                <w:sz w:val="20"/>
                <w:szCs w:val="20"/>
              </w:rPr>
              <w:t xml:space="preserve"> how do we convert between them?</w:t>
            </w:r>
            <w:r w:rsidRPr="00167721">
              <w:rPr>
                <w:rFonts w:cs="Arial"/>
                <w:sz w:val="20"/>
                <w:szCs w:val="20"/>
              </w:rPr>
              <w:t xml:space="preserve"> (Including metric to imperial)</w:t>
            </w:r>
          </w:p>
          <w:p w14:paraId="0DF617D3" w14:textId="77777777" w:rsidR="00817704" w:rsidRPr="00167721" w:rsidRDefault="00817704" w:rsidP="00167721">
            <w:pPr>
              <w:spacing w:before="120" w:after="120"/>
              <w:jc w:val="center"/>
              <w:rPr>
                <w:rFonts w:cs="Arial"/>
                <w:sz w:val="20"/>
                <w:szCs w:val="20"/>
              </w:rPr>
            </w:pPr>
            <w:r w:rsidRPr="00167721">
              <w:rPr>
                <w:rFonts w:cs="Arial"/>
                <w:sz w:val="20"/>
                <w:szCs w:val="20"/>
              </w:rPr>
              <w:t>How can we calculate areas using grids as well as formulas for shapes such as squares, rectangles, triangles with and without using technology?</w:t>
            </w:r>
          </w:p>
        </w:tc>
      </w:tr>
      <w:tr w:rsidR="00817704" w:rsidRPr="007F4277" w14:paraId="1D58A9F5" w14:textId="77777777" w:rsidTr="00C6513C">
        <w:trPr>
          <w:trHeight w:val="1040"/>
          <w:jc w:val="center"/>
        </w:trPr>
        <w:tc>
          <w:tcPr>
            <w:tcW w:w="306" w:type="pct"/>
            <w:shd w:val="clear" w:color="auto" w:fill="BFBFBF"/>
            <w:vAlign w:val="center"/>
          </w:tcPr>
          <w:p w14:paraId="5B6569DA" w14:textId="77777777" w:rsidR="00817704" w:rsidRPr="00167721" w:rsidRDefault="00817704" w:rsidP="00261BF2">
            <w:pPr>
              <w:jc w:val="center"/>
              <w:rPr>
                <w:rFonts w:cs="Arial"/>
                <w:b/>
              </w:rPr>
            </w:pPr>
            <w:r w:rsidRPr="00167721">
              <w:rPr>
                <w:rFonts w:cs="Arial"/>
                <w:b/>
                <w:szCs w:val="22"/>
              </w:rPr>
              <w:t>Week 9</w:t>
            </w:r>
          </w:p>
          <w:p w14:paraId="5C9AA7EF" w14:textId="77777777" w:rsidR="00817704" w:rsidRPr="00167721" w:rsidRDefault="00817704" w:rsidP="00167721">
            <w:pPr>
              <w:jc w:val="center"/>
              <w:rPr>
                <w:rFonts w:cs="Arial"/>
                <w:b/>
              </w:rPr>
            </w:pPr>
          </w:p>
        </w:tc>
        <w:tc>
          <w:tcPr>
            <w:tcW w:w="1489" w:type="pct"/>
            <w:vAlign w:val="center"/>
          </w:tcPr>
          <w:p w14:paraId="34297090" w14:textId="77777777" w:rsidR="00817704" w:rsidRPr="00167721" w:rsidRDefault="00817704" w:rsidP="00E43B49">
            <w:pPr>
              <w:spacing w:before="120" w:after="120"/>
              <w:jc w:val="center"/>
              <w:rPr>
                <w:rFonts w:cs="Arial"/>
                <w:sz w:val="20"/>
                <w:szCs w:val="20"/>
              </w:rPr>
            </w:pPr>
            <w:r w:rsidRPr="008213F6">
              <w:rPr>
                <w:rFonts w:cs="Arial"/>
                <w:b/>
                <w:sz w:val="20"/>
                <w:szCs w:val="20"/>
              </w:rPr>
              <w:t>Practical activity</w:t>
            </w:r>
            <w:r w:rsidRPr="00167721">
              <w:rPr>
                <w:rFonts w:cs="Arial"/>
                <w:sz w:val="20"/>
                <w:szCs w:val="20"/>
              </w:rPr>
              <w:t xml:space="preserve"> </w:t>
            </w:r>
            <w:r w:rsidR="00E43B49">
              <w:rPr>
                <w:rFonts w:cs="Arial"/>
                <w:sz w:val="20"/>
                <w:szCs w:val="20"/>
              </w:rPr>
              <w:t>– I</w:t>
            </w:r>
            <w:r w:rsidRPr="00167721">
              <w:rPr>
                <w:rFonts w:cs="Arial"/>
                <w:sz w:val="20"/>
                <w:szCs w:val="20"/>
              </w:rPr>
              <w:t>nvestigating the area of a circle</w:t>
            </w:r>
          </w:p>
        </w:tc>
        <w:tc>
          <w:tcPr>
            <w:tcW w:w="1586" w:type="pct"/>
            <w:vAlign w:val="center"/>
          </w:tcPr>
          <w:p w14:paraId="34D01E01" w14:textId="77777777" w:rsidR="00817704" w:rsidRPr="00167721" w:rsidRDefault="00817704" w:rsidP="00167721">
            <w:pPr>
              <w:spacing w:before="120" w:after="120"/>
              <w:jc w:val="center"/>
              <w:rPr>
                <w:rFonts w:cs="Arial"/>
                <w:sz w:val="20"/>
                <w:szCs w:val="20"/>
                <w:lang w:val="en-US"/>
              </w:rPr>
            </w:pPr>
            <w:r w:rsidRPr="00167721">
              <w:rPr>
                <w:rFonts w:cs="Arial"/>
                <w:sz w:val="20"/>
                <w:szCs w:val="20"/>
              </w:rPr>
              <w:t>Calculating the area of circles with and without technology</w:t>
            </w:r>
          </w:p>
        </w:tc>
        <w:tc>
          <w:tcPr>
            <w:tcW w:w="1619" w:type="pct"/>
            <w:vAlign w:val="center"/>
          </w:tcPr>
          <w:p w14:paraId="2F1BD01A" w14:textId="77777777" w:rsidR="00817704" w:rsidRPr="00167721" w:rsidRDefault="00817704" w:rsidP="00261BF2">
            <w:pPr>
              <w:jc w:val="center"/>
              <w:rPr>
                <w:rFonts w:cs="Arial"/>
                <w:sz w:val="20"/>
                <w:szCs w:val="20"/>
              </w:rPr>
            </w:pPr>
            <w:r w:rsidRPr="00167721">
              <w:rPr>
                <w:rFonts w:cs="Arial"/>
                <w:sz w:val="20"/>
                <w:szCs w:val="20"/>
              </w:rPr>
              <w:t>Finding the area of composite shapes</w:t>
            </w:r>
          </w:p>
          <w:p w14:paraId="590B30B6" w14:textId="77777777" w:rsidR="00817704" w:rsidRPr="00167721" w:rsidRDefault="00817704" w:rsidP="00261BF2">
            <w:pPr>
              <w:spacing w:before="120" w:after="120"/>
              <w:jc w:val="center"/>
              <w:rPr>
                <w:rFonts w:cs="Arial"/>
                <w:sz w:val="20"/>
                <w:szCs w:val="20"/>
              </w:rPr>
            </w:pPr>
            <w:r w:rsidRPr="00167721">
              <w:rPr>
                <w:rFonts w:cs="Arial"/>
                <w:sz w:val="20"/>
                <w:szCs w:val="20"/>
              </w:rPr>
              <w:t>(Heron’s Formula if time)</w:t>
            </w:r>
          </w:p>
        </w:tc>
      </w:tr>
      <w:tr w:rsidR="00817704" w:rsidRPr="007F4277" w14:paraId="609C8C33" w14:textId="77777777" w:rsidTr="00C6513C">
        <w:trPr>
          <w:trHeight w:val="1040"/>
          <w:jc w:val="center"/>
        </w:trPr>
        <w:tc>
          <w:tcPr>
            <w:tcW w:w="306" w:type="pct"/>
            <w:shd w:val="clear" w:color="auto" w:fill="BFBFBF"/>
            <w:vAlign w:val="center"/>
          </w:tcPr>
          <w:p w14:paraId="6D7CEECC" w14:textId="77777777" w:rsidR="00817704" w:rsidRPr="00167721" w:rsidRDefault="00817704" w:rsidP="00261BF2">
            <w:pPr>
              <w:jc w:val="center"/>
              <w:rPr>
                <w:rFonts w:cs="Arial"/>
                <w:b/>
              </w:rPr>
            </w:pPr>
            <w:r w:rsidRPr="00167721">
              <w:rPr>
                <w:rFonts w:cs="Arial"/>
                <w:b/>
                <w:szCs w:val="22"/>
              </w:rPr>
              <w:t>Week 10</w:t>
            </w:r>
          </w:p>
          <w:p w14:paraId="6CE1FD4B" w14:textId="77777777" w:rsidR="00817704" w:rsidRPr="00167721" w:rsidRDefault="00817704" w:rsidP="00167721">
            <w:pPr>
              <w:jc w:val="center"/>
              <w:rPr>
                <w:rFonts w:cs="Arial"/>
                <w:b/>
              </w:rPr>
            </w:pPr>
          </w:p>
        </w:tc>
        <w:tc>
          <w:tcPr>
            <w:tcW w:w="1489" w:type="pct"/>
            <w:vAlign w:val="center"/>
          </w:tcPr>
          <w:p w14:paraId="34BF29BF" w14:textId="77777777" w:rsidR="00817704" w:rsidRPr="00167721" w:rsidRDefault="00817704" w:rsidP="00261BF2">
            <w:pPr>
              <w:spacing w:before="120"/>
              <w:jc w:val="center"/>
              <w:rPr>
                <w:rFonts w:cs="Arial"/>
                <w:sz w:val="20"/>
                <w:szCs w:val="20"/>
              </w:rPr>
            </w:pPr>
            <w:r w:rsidRPr="00167721">
              <w:rPr>
                <w:rFonts w:cs="Arial"/>
                <w:sz w:val="20"/>
                <w:szCs w:val="20"/>
              </w:rPr>
              <w:t xml:space="preserve">Discussion of the concepts of mass and weight </w:t>
            </w:r>
          </w:p>
          <w:p w14:paraId="24B155D6" w14:textId="77777777" w:rsidR="00817704" w:rsidRPr="00167721" w:rsidRDefault="00817704" w:rsidP="00261BF2">
            <w:pPr>
              <w:jc w:val="center"/>
              <w:rPr>
                <w:rFonts w:cs="Arial"/>
                <w:sz w:val="20"/>
                <w:szCs w:val="20"/>
              </w:rPr>
            </w:pPr>
          </w:p>
          <w:p w14:paraId="4236B73A" w14:textId="77777777" w:rsidR="00817704" w:rsidRPr="00167721" w:rsidRDefault="00817704" w:rsidP="00261BF2">
            <w:pPr>
              <w:jc w:val="center"/>
              <w:rPr>
                <w:rFonts w:cs="Arial"/>
                <w:sz w:val="20"/>
                <w:szCs w:val="20"/>
              </w:rPr>
            </w:pPr>
            <w:r w:rsidRPr="00167721">
              <w:rPr>
                <w:rFonts w:cs="Arial"/>
                <w:sz w:val="20"/>
                <w:szCs w:val="20"/>
              </w:rPr>
              <w:t>Units for mass and conversion between them (tonnes, kg, gm, mg)</w:t>
            </w:r>
          </w:p>
          <w:p w14:paraId="482006A9" w14:textId="77777777" w:rsidR="00817704" w:rsidRPr="00167721" w:rsidRDefault="00817704" w:rsidP="00261BF2">
            <w:pPr>
              <w:jc w:val="center"/>
              <w:rPr>
                <w:rFonts w:cs="Arial"/>
                <w:sz w:val="20"/>
                <w:szCs w:val="20"/>
              </w:rPr>
            </w:pPr>
          </w:p>
          <w:p w14:paraId="0FAC4C07" w14:textId="77777777" w:rsidR="00817704" w:rsidRPr="00167721" w:rsidRDefault="00817704" w:rsidP="00E43B49">
            <w:pPr>
              <w:spacing w:before="120" w:after="120"/>
              <w:jc w:val="center"/>
              <w:rPr>
                <w:rFonts w:cs="Arial"/>
                <w:sz w:val="20"/>
                <w:szCs w:val="20"/>
              </w:rPr>
            </w:pPr>
            <w:r w:rsidRPr="008213F6">
              <w:rPr>
                <w:rFonts w:cs="Arial"/>
                <w:b/>
                <w:sz w:val="20"/>
                <w:szCs w:val="20"/>
              </w:rPr>
              <w:t>Practical activity</w:t>
            </w:r>
            <w:r w:rsidRPr="00167721">
              <w:rPr>
                <w:rFonts w:cs="Arial"/>
                <w:sz w:val="20"/>
                <w:szCs w:val="20"/>
              </w:rPr>
              <w:t xml:space="preserve"> </w:t>
            </w:r>
            <w:r w:rsidR="00E43B49">
              <w:rPr>
                <w:rFonts w:cs="Arial"/>
                <w:sz w:val="20"/>
                <w:szCs w:val="20"/>
              </w:rPr>
              <w:t>– E</w:t>
            </w:r>
            <w:r w:rsidRPr="00167721">
              <w:rPr>
                <w:rFonts w:cs="Arial"/>
                <w:sz w:val="20"/>
                <w:szCs w:val="20"/>
              </w:rPr>
              <w:t>s</w:t>
            </w:r>
            <w:r w:rsidR="00E43B49">
              <w:rPr>
                <w:rFonts w:cs="Arial"/>
                <w:sz w:val="20"/>
                <w:szCs w:val="20"/>
              </w:rPr>
              <w:t>timation of the mass of objects</w:t>
            </w:r>
          </w:p>
        </w:tc>
        <w:tc>
          <w:tcPr>
            <w:tcW w:w="1586" w:type="pct"/>
            <w:vAlign w:val="center"/>
          </w:tcPr>
          <w:p w14:paraId="5FED58B8" w14:textId="77777777" w:rsidR="00817704" w:rsidRPr="00167721" w:rsidRDefault="00817704" w:rsidP="00261BF2">
            <w:pPr>
              <w:spacing w:before="120"/>
              <w:jc w:val="center"/>
              <w:rPr>
                <w:rFonts w:cs="Arial"/>
                <w:sz w:val="20"/>
                <w:szCs w:val="20"/>
              </w:rPr>
            </w:pPr>
            <w:r w:rsidRPr="00167721">
              <w:rPr>
                <w:rFonts w:cs="Arial"/>
                <w:sz w:val="20"/>
                <w:szCs w:val="20"/>
              </w:rPr>
              <w:t>Relations</w:t>
            </w:r>
            <w:r w:rsidR="00E43B49">
              <w:rPr>
                <w:rFonts w:cs="Arial"/>
                <w:sz w:val="20"/>
                <w:szCs w:val="20"/>
              </w:rPr>
              <w:t>hip between volume and capacity</w:t>
            </w:r>
          </w:p>
          <w:p w14:paraId="2F71832E" w14:textId="77777777" w:rsidR="00817704" w:rsidRPr="00167721" w:rsidRDefault="00817704" w:rsidP="00261BF2">
            <w:pPr>
              <w:jc w:val="center"/>
              <w:rPr>
                <w:rFonts w:cs="Arial"/>
                <w:sz w:val="20"/>
                <w:szCs w:val="20"/>
              </w:rPr>
            </w:pPr>
          </w:p>
          <w:p w14:paraId="30C24A9D" w14:textId="77777777" w:rsidR="00817704" w:rsidRPr="00167721" w:rsidRDefault="00817704" w:rsidP="00261BF2">
            <w:pPr>
              <w:jc w:val="center"/>
              <w:rPr>
                <w:rFonts w:cs="Arial"/>
                <w:sz w:val="20"/>
                <w:szCs w:val="20"/>
              </w:rPr>
            </w:pPr>
            <w:r w:rsidRPr="00167721">
              <w:rPr>
                <w:rFonts w:cs="Arial"/>
                <w:sz w:val="20"/>
                <w:szCs w:val="20"/>
              </w:rPr>
              <w:t>Units for volume and capacity and conversion between them (kL = m</w:t>
            </w:r>
            <w:r w:rsidRPr="00167721">
              <w:rPr>
                <w:rFonts w:cs="Arial"/>
                <w:sz w:val="20"/>
                <w:szCs w:val="20"/>
                <w:vertAlign w:val="superscript"/>
              </w:rPr>
              <w:t>3</w:t>
            </w:r>
            <w:r w:rsidRPr="00167721">
              <w:rPr>
                <w:rFonts w:cs="Arial"/>
                <w:sz w:val="20"/>
                <w:szCs w:val="20"/>
              </w:rPr>
              <w:t>, litres, ml = cm</w:t>
            </w:r>
            <w:r w:rsidRPr="00167721">
              <w:rPr>
                <w:rFonts w:cs="Arial"/>
                <w:sz w:val="20"/>
                <w:szCs w:val="20"/>
                <w:vertAlign w:val="superscript"/>
              </w:rPr>
              <w:t>3</w:t>
            </w:r>
            <w:r w:rsidRPr="00167721">
              <w:rPr>
                <w:rFonts w:cs="Arial"/>
                <w:sz w:val="20"/>
                <w:szCs w:val="20"/>
              </w:rPr>
              <w:t>)</w:t>
            </w:r>
          </w:p>
          <w:p w14:paraId="28B526C7" w14:textId="77777777" w:rsidR="00817704" w:rsidRPr="00167721" w:rsidRDefault="00817704" w:rsidP="00261BF2">
            <w:pPr>
              <w:jc w:val="center"/>
              <w:rPr>
                <w:rFonts w:cs="Arial"/>
                <w:sz w:val="20"/>
                <w:szCs w:val="20"/>
              </w:rPr>
            </w:pPr>
          </w:p>
          <w:p w14:paraId="489D6D8B" w14:textId="77777777" w:rsidR="00817704" w:rsidRPr="00167721" w:rsidRDefault="00817704" w:rsidP="00261BF2">
            <w:pPr>
              <w:spacing w:before="120" w:after="120"/>
              <w:jc w:val="center"/>
              <w:rPr>
                <w:rFonts w:cs="Arial"/>
                <w:sz w:val="20"/>
                <w:szCs w:val="20"/>
                <w:lang w:val="en-US"/>
              </w:rPr>
            </w:pPr>
            <w:r w:rsidRPr="00167721">
              <w:rPr>
                <w:rFonts w:cs="Arial"/>
                <w:sz w:val="20"/>
                <w:szCs w:val="20"/>
              </w:rPr>
              <w:t>Estimating volume – practical activity and discussion of the difficulties involved in estimating volume in everyday situations (e.g. selecting an appropriate container for storing left-overs in a cooking pot)</w:t>
            </w:r>
          </w:p>
        </w:tc>
        <w:tc>
          <w:tcPr>
            <w:tcW w:w="1619" w:type="pct"/>
            <w:vAlign w:val="center"/>
          </w:tcPr>
          <w:p w14:paraId="5A8051C0" w14:textId="77777777" w:rsidR="00817704" w:rsidRPr="00167721" w:rsidRDefault="00817704" w:rsidP="00261BF2">
            <w:pPr>
              <w:spacing w:before="120" w:after="120"/>
              <w:jc w:val="center"/>
              <w:rPr>
                <w:rFonts w:cs="Arial"/>
                <w:sz w:val="20"/>
                <w:szCs w:val="20"/>
              </w:rPr>
            </w:pPr>
            <w:r w:rsidRPr="00167721">
              <w:rPr>
                <w:rFonts w:cs="Arial"/>
                <w:sz w:val="20"/>
                <w:szCs w:val="20"/>
              </w:rPr>
              <w:t>Calculating the volume</w:t>
            </w:r>
            <w:r w:rsidR="00E43B49">
              <w:rPr>
                <w:rFonts w:cs="Arial"/>
                <w:sz w:val="20"/>
                <w:szCs w:val="20"/>
              </w:rPr>
              <w:t xml:space="preserve"> of cubes, prisms and cylinders</w:t>
            </w:r>
          </w:p>
          <w:p w14:paraId="07CD0DF1" w14:textId="77777777" w:rsidR="00817704" w:rsidRPr="00167721" w:rsidRDefault="00817704" w:rsidP="00261BF2">
            <w:pPr>
              <w:spacing w:before="120" w:after="120"/>
              <w:jc w:val="center"/>
              <w:rPr>
                <w:rFonts w:cs="Arial"/>
                <w:sz w:val="20"/>
                <w:szCs w:val="20"/>
              </w:rPr>
            </w:pPr>
            <w:r w:rsidRPr="00167721">
              <w:rPr>
                <w:rFonts w:cs="Arial"/>
                <w:sz w:val="20"/>
                <w:szCs w:val="20"/>
              </w:rPr>
              <w:t>Using formulae (with and without technology) to solve probl</w:t>
            </w:r>
            <w:r w:rsidR="00E43B49">
              <w:rPr>
                <w:rFonts w:cs="Arial"/>
                <w:sz w:val="20"/>
                <w:szCs w:val="20"/>
              </w:rPr>
              <w:t>ems posed in practical contexts</w:t>
            </w:r>
          </w:p>
        </w:tc>
      </w:tr>
      <w:tr w:rsidR="00817704" w:rsidRPr="007F4277" w14:paraId="47D82C14" w14:textId="77777777" w:rsidTr="00C6513C">
        <w:trPr>
          <w:trHeight w:val="1040"/>
          <w:jc w:val="center"/>
        </w:trPr>
        <w:tc>
          <w:tcPr>
            <w:tcW w:w="306" w:type="pct"/>
            <w:shd w:val="clear" w:color="auto" w:fill="BFBFBF"/>
            <w:vAlign w:val="center"/>
          </w:tcPr>
          <w:p w14:paraId="70BB5C76" w14:textId="77777777" w:rsidR="00817704" w:rsidRPr="00167721" w:rsidRDefault="00817704" w:rsidP="00261BF2">
            <w:pPr>
              <w:jc w:val="center"/>
              <w:rPr>
                <w:rFonts w:ascii="Arial Narrow" w:hAnsi="Arial Narrow"/>
                <w:sz w:val="24"/>
                <w:u w:val="single"/>
              </w:rPr>
            </w:pPr>
            <w:r w:rsidRPr="00167721">
              <w:rPr>
                <w:rFonts w:ascii="Arial Narrow" w:hAnsi="Arial Narrow"/>
                <w:sz w:val="24"/>
                <w:u w:val="single"/>
              </w:rPr>
              <w:t>Term Four</w:t>
            </w:r>
          </w:p>
          <w:p w14:paraId="5ED71633" w14:textId="77777777" w:rsidR="00817704" w:rsidRPr="00167721" w:rsidRDefault="00817704" w:rsidP="00261BF2">
            <w:pPr>
              <w:jc w:val="center"/>
              <w:rPr>
                <w:rFonts w:cs="Arial"/>
                <w:b/>
              </w:rPr>
            </w:pPr>
            <w:r w:rsidRPr="00167721">
              <w:rPr>
                <w:rFonts w:cs="Arial"/>
                <w:b/>
                <w:szCs w:val="22"/>
              </w:rPr>
              <w:t>Week 1</w:t>
            </w:r>
          </w:p>
          <w:p w14:paraId="7C7B7BC3" w14:textId="77777777" w:rsidR="00817704" w:rsidRPr="00167721" w:rsidRDefault="00817704" w:rsidP="00167721">
            <w:pPr>
              <w:jc w:val="center"/>
              <w:rPr>
                <w:rFonts w:cs="Arial"/>
                <w:b/>
              </w:rPr>
            </w:pPr>
          </w:p>
        </w:tc>
        <w:tc>
          <w:tcPr>
            <w:tcW w:w="1489" w:type="pct"/>
            <w:vAlign w:val="center"/>
          </w:tcPr>
          <w:p w14:paraId="2847F4DB" w14:textId="77777777" w:rsidR="00817704" w:rsidRPr="00167721" w:rsidRDefault="00817704" w:rsidP="00261BF2">
            <w:pPr>
              <w:spacing w:before="120" w:after="120"/>
              <w:jc w:val="center"/>
              <w:rPr>
                <w:rFonts w:cs="Arial"/>
                <w:b/>
                <w:color w:val="FF0000"/>
              </w:rPr>
            </w:pPr>
            <w:r w:rsidRPr="00167721">
              <w:rPr>
                <w:rFonts w:cs="Arial"/>
                <w:b/>
                <w:color w:val="FF0000"/>
                <w:szCs w:val="22"/>
              </w:rPr>
              <w:t>FOLIO TWO</w:t>
            </w:r>
          </w:p>
          <w:p w14:paraId="6B8949B3" w14:textId="77777777" w:rsidR="00817704" w:rsidRPr="00167721" w:rsidRDefault="00817704" w:rsidP="00E43B49">
            <w:pPr>
              <w:spacing w:before="120" w:after="120"/>
              <w:jc w:val="center"/>
              <w:rPr>
                <w:rFonts w:cs="Arial"/>
                <w:sz w:val="20"/>
                <w:szCs w:val="20"/>
              </w:rPr>
            </w:pPr>
            <w:r>
              <w:rPr>
                <w:rFonts w:cs="Arial"/>
                <w:b/>
                <w:sz w:val="20"/>
                <w:szCs w:val="20"/>
              </w:rPr>
              <w:t>Designing and C</w:t>
            </w:r>
            <w:r w:rsidRPr="00B6420B">
              <w:rPr>
                <w:rFonts w:cs="Arial"/>
                <w:b/>
                <w:sz w:val="20"/>
                <w:szCs w:val="20"/>
              </w:rPr>
              <w:t xml:space="preserve">osting a </w:t>
            </w:r>
            <w:r w:rsidR="00E43B49">
              <w:rPr>
                <w:rFonts w:cs="Arial"/>
                <w:b/>
                <w:sz w:val="20"/>
                <w:szCs w:val="20"/>
              </w:rPr>
              <w:t>D</w:t>
            </w:r>
            <w:r w:rsidRPr="00B6420B">
              <w:rPr>
                <w:rFonts w:cs="Arial"/>
                <w:b/>
                <w:sz w:val="20"/>
                <w:szCs w:val="20"/>
              </w:rPr>
              <w:t>eck</w:t>
            </w:r>
          </w:p>
        </w:tc>
        <w:tc>
          <w:tcPr>
            <w:tcW w:w="1586" w:type="pct"/>
            <w:vAlign w:val="center"/>
          </w:tcPr>
          <w:p w14:paraId="0CDD578F" w14:textId="77777777" w:rsidR="00817704" w:rsidRPr="00167721" w:rsidRDefault="00817704" w:rsidP="00261BF2">
            <w:pPr>
              <w:spacing w:before="120"/>
              <w:jc w:val="center"/>
              <w:rPr>
                <w:rFonts w:cs="Arial"/>
                <w:sz w:val="20"/>
                <w:szCs w:val="20"/>
              </w:rPr>
            </w:pPr>
            <w:r w:rsidRPr="00167721">
              <w:rPr>
                <w:rFonts w:cs="Arial"/>
                <w:sz w:val="20"/>
                <w:szCs w:val="20"/>
              </w:rPr>
              <w:t>Discussion of the conn</w:t>
            </w:r>
            <w:r w:rsidR="00E43B49">
              <w:rPr>
                <w:rFonts w:cs="Arial"/>
                <w:sz w:val="20"/>
                <w:szCs w:val="20"/>
              </w:rPr>
              <w:t>ection between energy and power</w:t>
            </w:r>
          </w:p>
          <w:p w14:paraId="2274C26C" w14:textId="77777777" w:rsidR="00817704" w:rsidRPr="00167721" w:rsidRDefault="00817704" w:rsidP="00261BF2">
            <w:pPr>
              <w:jc w:val="center"/>
              <w:rPr>
                <w:rFonts w:cs="Arial"/>
                <w:sz w:val="20"/>
                <w:szCs w:val="20"/>
              </w:rPr>
            </w:pPr>
          </w:p>
          <w:p w14:paraId="745368EC" w14:textId="77777777" w:rsidR="00817704" w:rsidRPr="00167721" w:rsidRDefault="00E43B49" w:rsidP="00BE0590">
            <w:pPr>
              <w:spacing w:before="120" w:after="120"/>
              <w:jc w:val="center"/>
              <w:rPr>
                <w:rFonts w:cs="Arial"/>
                <w:sz w:val="20"/>
                <w:szCs w:val="20"/>
                <w:lang w:val="en-US"/>
              </w:rPr>
            </w:pPr>
            <w:r>
              <w:rPr>
                <w:rFonts w:cs="Arial"/>
                <w:sz w:val="20"/>
                <w:szCs w:val="20"/>
              </w:rPr>
              <w:t>Understanding e</w:t>
            </w:r>
            <w:r w:rsidR="00817704" w:rsidRPr="00167721">
              <w:rPr>
                <w:rFonts w:cs="Arial"/>
                <w:sz w:val="20"/>
                <w:szCs w:val="20"/>
              </w:rPr>
              <w:t>nergy –</w:t>
            </w:r>
            <w:r w:rsidR="00BE0590">
              <w:rPr>
                <w:rFonts w:cs="Arial"/>
                <w:sz w:val="20"/>
                <w:szCs w:val="20"/>
              </w:rPr>
              <w:t xml:space="preserve"> </w:t>
            </w:r>
            <w:r w:rsidR="00817704" w:rsidRPr="00167721">
              <w:rPr>
                <w:rFonts w:cs="Arial"/>
                <w:sz w:val="20"/>
                <w:szCs w:val="20"/>
              </w:rPr>
              <w:t xml:space="preserve">units, where they are used, and basic calculations (watts, kilowatts, megawatts, </w:t>
            </w:r>
            <w:r w:rsidR="00817704" w:rsidRPr="00167721">
              <w:rPr>
                <w:rFonts w:cs="Arial"/>
                <w:sz w:val="20"/>
                <w:szCs w:val="20"/>
              </w:rPr>
              <w:lastRenderedPageBreak/>
              <w:t>and gigawatts)</w:t>
            </w:r>
          </w:p>
        </w:tc>
        <w:tc>
          <w:tcPr>
            <w:tcW w:w="1619" w:type="pct"/>
            <w:vAlign w:val="center"/>
          </w:tcPr>
          <w:p w14:paraId="3EED0EB6" w14:textId="77777777" w:rsidR="00817704" w:rsidRPr="00167721" w:rsidRDefault="00E43B49" w:rsidP="00261BF2">
            <w:pPr>
              <w:spacing w:before="120" w:after="120"/>
              <w:jc w:val="center"/>
              <w:rPr>
                <w:rFonts w:cs="Arial"/>
                <w:sz w:val="20"/>
                <w:szCs w:val="20"/>
              </w:rPr>
            </w:pPr>
            <w:r>
              <w:rPr>
                <w:rFonts w:cs="Arial"/>
                <w:sz w:val="20"/>
                <w:szCs w:val="20"/>
              </w:rPr>
              <w:lastRenderedPageBreak/>
              <w:t>Kilowatt h</w:t>
            </w:r>
            <w:r w:rsidR="00817704" w:rsidRPr="00167721">
              <w:rPr>
                <w:rFonts w:cs="Arial"/>
                <w:sz w:val="20"/>
                <w:szCs w:val="20"/>
              </w:rPr>
              <w:t>ours and the conversio</w:t>
            </w:r>
            <w:r>
              <w:rPr>
                <w:rFonts w:cs="Arial"/>
                <w:sz w:val="20"/>
                <w:szCs w:val="20"/>
              </w:rPr>
              <w:t>n from watts to kilowatt hours</w:t>
            </w:r>
          </w:p>
          <w:p w14:paraId="275A2207" w14:textId="77777777" w:rsidR="00817704" w:rsidRPr="00167721" w:rsidRDefault="00817704" w:rsidP="008213F6">
            <w:pPr>
              <w:spacing w:before="120" w:after="120"/>
              <w:jc w:val="center"/>
              <w:rPr>
                <w:rFonts w:cs="Arial"/>
                <w:sz w:val="20"/>
                <w:szCs w:val="20"/>
              </w:rPr>
            </w:pPr>
            <w:r>
              <w:rPr>
                <w:color w:val="000000"/>
                <w:sz w:val="20"/>
                <w:lang w:val="en-US"/>
              </w:rPr>
              <w:t xml:space="preserve">Class watch </w:t>
            </w:r>
            <w:r w:rsidRPr="008213F6">
              <w:rPr>
                <w:i/>
                <w:color w:val="000000"/>
                <w:sz w:val="20"/>
                <w:lang w:val="en-US"/>
              </w:rPr>
              <w:t>(BBC1)</w:t>
            </w:r>
            <w:r w:rsidRPr="000C7C00">
              <w:rPr>
                <w:color w:val="000000"/>
                <w:sz w:val="20"/>
                <w:lang w:val="en-US"/>
              </w:rPr>
              <w:t xml:space="preserve"> </w:t>
            </w:r>
            <w:r>
              <w:rPr>
                <w:color w:val="000000"/>
                <w:sz w:val="20"/>
                <w:lang w:val="en-US"/>
              </w:rPr>
              <w:t xml:space="preserve">program </w:t>
            </w:r>
            <w:r w:rsidRPr="008213F6">
              <w:rPr>
                <w:i/>
                <w:color w:val="000000"/>
                <w:sz w:val="20"/>
                <w:lang w:val="en-US"/>
              </w:rPr>
              <w:t xml:space="preserve">Human Power Station </w:t>
            </w:r>
            <w:r>
              <w:rPr>
                <w:color w:val="000000"/>
                <w:sz w:val="20"/>
                <w:lang w:val="en-US"/>
              </w:rPr>
              <w:t xml:space="preserve">and discuss </w:t>
            </w:r>
            <w:r w:rsidRPr="000C7C00">
              <w:rPr>
                <w:color w:val="000000"/>
                <w:sz w:val="20"/>
                <w:lang w:val="en-US"/>
              </w:rPr>
              <w:t>the connection between human energy and electrical power</w:t>
            </w:r>
          </w:p>
        </w:tc>
      </w:tr>
      <w:tr w:rsidR="00817704" w:rsidRPr="007F4277" w14:paraId="6247805E" w14:textId="77777777" w:rsidTr="00C6513C">
        <w:trPr>
          <w:trHeight w:val="1040"/>
          <w:jc w:val="center"/>
        </w:trPr>
        <w:tc>
          <w:tcPr>
            <w:tcW w:w="306" w:type="pct"/>
            <w:shd w:val="clear" w:color="auto" w:fill="BFBFBF"/>
            <w:vAlign w:val="center"/>
          </w:tcPr>
          <w:p w14:paraId="4B1FC452" w14:textId="77777777" w:rsidR="00817704" w:rsidRPr="00167721" w:rsidRDefault="00817704" w:rsidP="00167721">
            <w:pPr>
              <w:jc w:val="center"/>
              <w:rPr>
                <w:rFonts w:cs="Arial"/>
                <w:b/>
              </w:rPr>
            </w:pPr>
            <w:r w:rsidRPr="00167721">
              <w:rPr>
                <w:rFonts w:cs="Arial"/>
                <w:b/>
                <w:szCs w:val="22"/>
              </w:rPr>
              <w:t>Week 2</w:t>
            </w:r>
          </w:p>
        </w:tc>
        <w:tc>
          <w:tcPr>
            <w:tcW w:w="1489" w:type="pct"/>
            <w:vAlign w:val="center"/>
          </w:tcPr>
          <w:p w14:paraId="1CBB5B74" w14:textId="77777777" w:rsidR="00817704" w:rsidRDefault="00817704" w:rsidP="00261BF2">
            <w:pPr>
              <w:spacing w:before="120" w:after="120"/>
              <w:jc w:val="center"/>
              <w:rPr>
                <w:rFonts w:cs="Arial"/>
                <w:b/>
                <w:color w:val="FF0000"/>
              </w:rPr>
            </w:pPr>
            <w:r w:rsidRPr="00167721">
              <w:rPr>
                <w:rFonts w:cs="Arial"/>
                <w:b/>
                <w:color w:val="FF0000"/>
                <w:szCs w:val="22"/>
              </w:rPr>
              <w:t>FOLIO TWO</w:t>
            </w:r>
          </w:p>
          <w:p w14:paraId="5AB02690" w14:textId="77777777" w:rsidR="00817704" w:rsidRPr="00261BF2" w:rsidRDefault="00817704" w:rsidP="00E43B49">
            <w:pPr>
              <w:spacing w:before="120" w:after="120"/>
              <w:jc w:val="center"/>
              <w:rPr>
                <w:rFonts w:cs="Arial"/>
                <w:b/>
                <w:color w:val="FF0000"/>
              </w:rPr>
            </w:pPr>
            <w:r>
              <w:rPr>
                <w:rFonts w:cs="Arial"/>
                <w:b/>
                <w:sz w:val="20"/>
                <w:szCs w:val="20"/>
              </w:rPr>
              <w:t>Designing and C</w:t>
            </w:r>
            <w:r w:rsidRPr="00B6420B">
              <w:rPr>
                <w:rFonts w:cs="Arial"/>
                <w:b/>
                <w:sz w:val="20"/>
                <w:szCs w:val="20"/>
              </w:rPr>
              <w:t xml:space="preserve">osting a </w:t>
            </w:r>
            <w:r w:rsidR="00E43B49">
              <w:rPr>
                <w:rFonts w:cs="Arial"/>
                <w:b/>
                <w:sz w:val="20"/>
                <w:szCs w:val="20"/>
              </w:rPr>
              <w:t>D</w:t>
            </w:r>
            <w:r w:rsidRPr="00B6420B">
              <w:rPr>
                <w:rFonts w:cs="Arial"/>
                <w:b/>
                <w:sz w:val="20"/>
                <w:szCs w:val="20"/>
              </w:rPr>
              <w:t>eck</w:t>
            </w:r>
          </w:p>
        </w:tc>
        <w:tc>
          <w:tcPr>
            <w:tcW w:w="1586" w:type="pct"/>
            <w:vAlign w:val="center"/>
          </w:tcPr>
          <w:p w14:paraId="32C44FB5" w14:textId="77777777" w:rsidR="00817704" w:rsidRDefault="00817704" w:rsidP="00261BF2">
            <w:pPr>
              <w:spacing w:before="120" w:after="120"/>
              <w:jc w:val="center"/>
              <w:rPr>
                <w:rFonts w:cs="Arial"/>
                <w:sz w:val="20"/>
                <w:szCs w:val="20"/>
                <w:lang w:val="en-US"/>
              </w:rPr>
            </w:pPr>
            <w:r>
              <w:rPr>
                <w:rFonts w:cs="Arial"/>
                <w:sz w:val="20"/>
                <w:szCs w:val="20"/>
                <w:lang w:val="en-US"/>
              </w:rPr>
              <w:t xml:space="preserve">Investigation of energy rating labels on electrical appliances. Utilise the information on </w:t>
            </w:r>
            <w:r w:rsidRPr="000C7C00">
              <w:rPr>
                <w:color w:val="000000"/>
                <w:sz w:val="20"/>
                <w:lang w:val="en-US"/>
              </w:rPr>
              <w:t>average electricity tariff</w:t>
            </w:r>
            <w:r>
              <w:rPr>
                <w:color w:val="000000"/>
                <w:sz w:val="20"/>
                <w:lang w:val="en-US"/>
              </w:rPr>
              <w:t>s</w:t>
            </w:r>
            <w:r w:rsidRPr="000C7C00">
              <w:rPr>
                <w:color w:val="000000"/>
                <w:sz w:val="20"/>
                <w:lang w:val="en-US"/>
              </w:rPr>
              <w:t xml:space="preserve"> for each state, and example energy consumption calculations</w:t>
            </w:r>
            <w:r>
              <w:rPr>
                <w:color w:val="000000"/>
                <w:sz w:val="20"/>
                <w:lang w:val="en-US"/>
              </w:rPr>
              <w:t xml:space="preserve"> at</w:t>
            </w:r>
          </w:p>
          <w:p w14:paraId="3032B416" w14:textId="77777777" w:rsidR="00817704" w:rsidRPr="00167721" w:rsidRDefault="00000000" w:rsidP="008213F6">
            <w:pPr>
              <w:spacing w:before="120" w:after="120"/>
              <w:jc w:val="center"/>
              <w:rPr>
                <w:rFonts w:cs="Arial"/>
                <w:sz w:val="20"/>
                <w:szCs w:val="20"/>
                <w:lang w:val="en-US"/>
              </w:rPr>
            </w:pPr>
            <w:hyperlink r:id="rId13" w:history="1">
              <w:r w:rsidR="00817704" w:rsidRPr="008213F6">
                <w:rPr>
                  <w:color w:val="0000FF"/>
                  <w:sz w:val="20"/>
                  <w:u w:val="single"/>
                  <w:lang w:val="en-US"/>
                </w:rPr>
                <w:t>www.energyrating.gov.au</w:t>
              </w:r>
            </w:hyperlink>
            <w:r w:rsidR="00817704" w:rsidRPr="000C7C00">
              <w:rPr>
                <w:color w:val="000000"/>
                <w:sz w:val="20"/>
                <w:lang w:val="en-US"/>
              </w:rPr>
              <w:t>.</w:t>
            </w:r>
          </w:p>
        </w:tc>
        <w:tc>
          <w:tcPr>
            <w:tcW w:w="1619" w:type="pct"/>
            <w:vAlign w:val="center"/>
          </w:tcPr>
          <w:p w14:paraId="243387F6" w14:textId="77777777" w:rsidR="00817704" w:rsidRDefault="00817704" w:rsidP="00396FDA">
            <w:pPr>
              <w:spacing w:before="240" w:after="120"/>
              <w:jc w:val="center"/>
              <w:rPr>
                <w:rFonts w:cs="Arial"/>
                <w:sz w:val="20"/>
                <w:szCs w:val="20"/>
              </w:rPr>
            </w:pPr>
            <w:r>
              <w:rPr>
                <w:rFonts w:cs="Arial"/>
                <w:sz w:val="20"/>
                <w:szCs w:val="20"/>
              </w:rPr>
              <w:t xml:space="preserve">Calculations of the </w:t>
            </w:r>
            <w:r w:rsidR="00E43B49">
              <w:rPr>
                <w:rFonts w:cs="Arial"/>
                <w:sz w:val="20"/>
                <w:szCs w:val="20"/>
              </w:rPr>
              <w:t>costs of electricity to a house</w:t>
            </w:r>
            <w:r>
              <w:rPr>
                <w:rFonts w:cs="Arial"/>
                <w:sz w:val="20"/>
                <w:szCs w:val="20"/>
              </w:rPr>
              <w:t xml:space="preserve"> </w:t>
            </w:r>
          </w:p>
          <w:p w14:paraId="67F3A548" w14:textId="77777777" w:rsidR="00817704" w:rsidRPr="008213F6" w:rsidRDefault="00817704" w:rsidP="00396FDA">
            <w:pPr>
              <w:pStyle w:val="ListParagraph"/>
              <w:numPr>
                <w:ilvl w:val="0"/>
                <w:numId w:val="12"/>
              </w:numPr>
              <w:spacing w:before="60" w:after="60"/>
              <w:rPr>
                <w:rFonts w:ascii="Arial" w:hAnsi="Arial" w:cs="Arial"/>
                <w:sz w:val="20"/>
                <w:szCs w:val="20"/>
              </w:rPr>
            </w:pPr>
            <w:r w:rsidRPr="00396FDA">
              <w:rPr>
                <w:rFonts w:ascii="Arial" w:hAnsi="Arial" w:cs="Arial"/>
                <w:sz w:val="20"/>
                <w:szCs w:val="20"/>
              </w:rPr>
              <w:t>Daily</w:t>
            </w:r>
            <w:r>
              <w:rPr>
                <w:rFonts w:cs="Arial"/>
                <w:sz w:val="20"/>
                <w:szCs w:val="20"/>
              </w:rPr>
              <w:t xml:space="preserve"> </w:t>
            </w:r>
            <w:r w:rsidRPr="008213F6">
              <w:rPr>
                <w:rFonts w:ascii="Arial" w:hAnsi="Arial" w:cs="Arial"/>
                <w:sz w:val="20"/>
                <w:szCs w:val="20"/>
              </w:rPr>
              <w:t>supply charge</w:t>
            </w:r>
          </w:p>
          <w:p w14:paraId="0918AED9" w14:textId="77777777" w:rsidR="00817704" w:rsidRPr="00396FDA" w:rsidRDefault="00817704" w:rsidP="008213F6">
            <w:pPr>
              <w:pStyle w:val="ListParagraph"/>
              <w:numPr>
                <w:ilvl w:val="0"/>
                <w:numId w:val="12"/>
              </w:numPr>
              <w:spacing w:before="60" w:after="60"/>
              <w:rPr>
                <w:rFonts w:cs="Arial"/>
                <w:sz w:val="20"/>
                <w:szCs w:val="20"/>
              </w:rPr>
            </w:pPr>
            <w:r w:rsidRPr="008213F6">
              <w:rPr>
                <w:rFonts w:ascii="Arial" w:hAnsi="Arial" w:cs="Arial"/>
                <w:sz w:val="20"/>
                <w:szCs w:val="20"/>
              </w:rPr>
              <w:t>Tariff</w:t>
            </w:r>
          </w:p>
          <w:p w14:paraId="12F87FB2" w14:textId="77777777" w:rsidR="00817704" w:rsidRPr="00167721" w:rsidRDefault="00817704" w:rsidP="00E43B49">
            <w:pPr>
              <w:pStyle w:val="ListParagraph"/>
              <w:spacing w:before="60" w:after="60"/>
              <w:ind w:left="360" w:firstLine="0"/>
              <w:jc w:val="center"/>
              <w:rPr>
                <w:rFonts w:cs="Arial"/>
                <w:sz w:val="20"/>
                <w:szCs w:val="20"/>
              </w:rPr>
            </w:pPr>
            <w:r>
              <w:rPr>
                <w:rFonts w:ascii="Arial" w:hAnsi="Arial" w:cs="Arial"/>
                <w:sz w:val="20"/>
                <w:szCs w:val="20"/>
              </w:rPr>
              <w:t>Electricity bills which include solar feed-in tariffs could be looked at and discussed (the solar feed-in tariffs should not be included in any calculations required of the students).</w:t>
            </w:r>
          </w:p>
        </w:tc>
      </w:tr>
      <w:tr w:rsidR="00817704" w:rsidRPr="007F4277" w14:paraId="1B85B321" w14:textId="77777777" w:rsidTr="00C6513C">
        <w:trPr>
          <w:trHeight w:val="1040"/>
          <w:jc w:val="center"/>
        </w:trPr>
        <w:tc>
          <w:tcPr>
            <w:tcW w:w="306" w:type="pct"/>
            <w:shd w:val="clear" w:color="auto" w:fill="BFBFBF"/>
            <w:vAlign w:val="center"/>
          </w:tcPr>
          <w:p w14:paraId="6C147288" w14:textId="77777777" w:rsidR="00817704" w:rsidRPr="00167721" w:rsidRDefault="00817704" w:rsidP="00261BF2">
            <w:pPr>
              <w:jc w:val="center"/>
              <w:rPr>
                <w:rFonts w:cs="Arial"/>
                <w:b/>
              </w:rPr>
            </w:pPr>
            <w:r w:rsidRPr="00167721">
              <w:rPr>
                <w:rFonts w:cs="Arial"/>
                <w:b/>
                <w:szCs w:val="22"/>
              </w:rPr>
              <w:t>Week 3</w:t>
            </w:r>
          </w:p>
          <w:p w14:paraId="677ACA2F" w14:textId="77777777" w:rsidR="00817704" w:rsidRPr="00167721" w:rsidRDefault="00817704" w:rsidP="00167721">
            <w:pPr>
              <w:jc w:val="center"/>
              <w:rPr>
                <w:rFonts w:cs="Arial"/>
                <w:b/>
              </w:rPr>
            </w:pPr>
          </w:p>
        </w:tc>
        <w:tc>
          <w:tcPr>
            <w:tcW w:w="1489" w:type="pct"/>
            <w:vAlign w:val="center"/>
          </w:tcPr>
          <w:p w14:paraId="6CAB53CC" w14:textId="77777777" w:rsidR="00817704" w:rsidRDefault="00817704" w:rsidP="00B6420B">
            <w:pPr>
              <w:spacing w:before="120" w:after="120"/>
              <w:jc w:val="center"/>
              <w:rPr>
                <w:rFonts w:cs="Arial"/>
                <w:b/>
                <w:color w:val="FF0000"/>
              </w:rPr>
            </w:pPr>
            <w:r w:rsidRPr="00167721">
              <w:rPr>
                <w:rFonts w:cs="Arial"/>
                <w:b/>
                <w:color w:val="FF0000"/>
                <w:szCs w:val="22"/>
              </w:rPr>
              <w:t>FOLIO TWO</w:t>
            </w:r>
          </w:p>
          <w:p w14:paraId="03BABA71" w14:textId="77777777" w:rsidR="00817704" w:rsidRPr="00167721" w:rsidRDefault="00817704" w:rsidP="00B6420B">
            <w:pPr>
              <w:spacing w:before="120" w:after="120"/>
              <w:jc w:val="center"/>
              <w:rPr>
                <w:rFonts w:cs="Arial"/>
                <w:sz w:val="20"/>
                <w:szCs w:val="20"/>
              </w:rPr>
            </w:pPr>
            <w:r>
              <w:rPr>
                <w:rFonts w:cs="Arial"/>
                <w:b/>
                <w:sz w:val="20"/>
                <w:szCs w:val="20"/>
              </w:rPr>
              <w:t>Designing and C</w:t>
            </w:r>
            <w:r w:rsidRPr="00B6420B">
              <w:rPr>
                <w:rFonts w:cs="Arial"/>
                <w:b/>
                <w:sz w:val="20"/>
                <w:szCs w:val="20"/>
              </w:rPr>
              <w:t>osting a deck</w:t>
            </w:r>
          </w:p>
        </w:tc>
        <w:tc>
          <w:tcPr>
            <w:tcW w:w="1586" w:type="pct"/>
            <w:vAlign w:val="center"/>
          </w:tcPr>
          <w:p w14:paraId="2D8F21F2" w14:textId="77777777" w:rsidR="00817704" w:rsidRPr="00167721" w:rsidRDefault="00817704" w:rsidP="008213F6">
            <w:pPr>
              <w:spacing w:before="240"/>
              <w:jc w:val="center"/>
              <w:rPr>
                <w:rFonts w:cs="Arial"/>
                <w:b/>
                <w:color w:val="0070C0"/>
                <w:sz w:val="20"/>
                <w:szCs w:val="20"/>
                <w:u w:val="single"/>
              </w:rPr>
            </w:pPr>
            <w:r w:rsidRPr="00167721">
              <w:rPr>
                <w:rFonts w:cs="Arial"/>
                <w:b/>
                <w:color w:val="0070C0"/>
                <w:sz w:val="20"/>
                <w:szCs w:val="20"/>
                <w:u w:val="single"/>
              </w:rPr>
              <w:t xml:space="preserve">TOPIC SIX: INVESTING </w:t>
            </w:r>
          </w:p>
          <w:p w14:paraId="671610C9" w14:textId="77777777" w:rsidR="00817704" w:rsidRPr="00167721" w:rsidRDefault="00817704" w:rsidP="008213F6">
            <w:pPr>
              <w:jc w:val="center"/>
              <w:rPr>
                <w:rFonts w:cs="Arial"/>
                <w:sz w:val="20"/>
                <w:szCs w:val="20"/>
              </w:rPr>
            </w:pPr>
          </w:p>
          <w:p w14:paraId="548EE0FC" w14:textId="77777777" w:rsidR="00817704" w:rsidRPr="00167721" w:rsidRDefault="00817704" w:rsidP="008213F6">
            <w:pPr>
              <w:spacing w:after="120"/>
              <w:jc w:val="center"/>
              <w:rPr>
                <w:rFonts w:cs="Arial"/>
                <w:sz w:val="20"/>
                <w:szCs w:val="20"/>
              </w:rPr>
            </w:pPr>
            <w:r w:rsidRPr="00167721">
              <w:rPr>
                <w:rFonts w:cs="Arial"/>
                <w:sz w:val="20"/>
                <w:szCs w:val="20"/>
              </w:rPr>
              <w:t>Why do we save?</w:t>
            </w:r>
          </w:p>
          <w:p w14:paraId="085A07F4" w14:textId="77777777" w:rsidR="00817704" w:rsidRPr="00167721" w:rsidRDefault="00817704" w:rsidP="008213F6">
            <w:pPr>
              <w:spacing w:before="120" w:after="120"/>
              <w:jc w:val="center"/>
              <w:rPr>
                <w:rFonts w:cs="Arial"/>
                <w:sz w:val="20"/>
                <w:szCs w:val="20"/>
                <w:lang w:val="en-US"/>
              </w:rPr>
            </w:pPr>
            <w:r w:rsidRPr="00167721">
              <w:rPr>
                <w:rFonts w:cs="Arial"/>
                <w:sz w:val="20"/>
                <w:szCs w:val="20"/>
              </w:rPr>
              <w:t>Calculating simple interest (with and without technology)</w:t>
            </w:r>
          </w:p>
        </w:tc>
        <w:tc>
          <w:tcPr>
            <w:tcW w:w="1619" w:type="pct"/>
            <w:vAlign w:val="center"/>
          </w:tcPr>
          <w:p w14:paraId="00EFDE68" w14:textId="77777777" w:rsidR="00817704" w:rsidRDefault="00817704" w:rsidP="008213F6">
            <w:pPr>
              <w:spacing w:before="120" w:after="120"/>
              <w:jc w:val="center"/>
              <w:rPr>
                <w:rFonts w:cs="Arial"/>
                <w:sz w:val="20"/>
                <w:szCs w:val="20"/>
              </w:rPr>
            </w:pPr>
            <w:r w:rsidRPr="00167721">
              <w:rPr>
                <w:rFonts w:cs="Arial"/>
                <w:sz w:val="20"/>
                <w:szCs w:val="20"/>
              </w:rPr>
              <w:t>Simple interest – Rearranging the formula to find principal, interest and time invested in years</w:t>
            </w:r>
          </w:p>
          <w:p w14:paraId="0D33E931" w14:textId="77777777" w:rsidR="00817704" w:rsidRPr="00261BF2" w:rsidRDefault="00817704" w:rsidP="008213F6">
            <w:pPr>
              <w:pStyle w:val="ListParagraph"/>
              <w:spacing w:before="120" w:after="120"/>
              <w:ind w:left="0" w:firstLine="0"/>
              <w:rPr>
                <w:rFonts w:ascii="Arial" w:hAnsi="Arial" w:cs="Arial"/>
                <w:sz w:val="20"/>
                <w:szCs w:val="20"/>
              </w:rPr>
            </w:pPr>
          </w:p>
        </w:tc>
      </w:tr>
      <w:tr w:rsidR="00817704" w:rsidRPr="007F4277" w14:paraId="3E7410D2" w14:textId="77777777" w:rsidTr="00C6513C">
        <w:trPr>
          <w:trHeight w:val="1040"/>
          <w:jc w:val="center"/>
        </w:trPr>
        <w:tc>
          <w:tcPr>
            <w:tcW w:w="306" w:type="pct"/>
            <w:shd w:val="clear" w:color="auto" w:fill="BFBFBF"/>
            <w:vAlign w:val="center"/>
          </w:tcPr>
          <w:p w14:paraId="7335AC0D" w14:textId="77777777" w:rsidR="00817704" w:rsidRPr="00167721" w:rsidRDefault="00817704" w:rsidP="00261BF2">
            <w:pPr>
              <w:jc w:val="center"/>
              <w:rPr>
                <w:rFonts w:cs="Arial"/>
                <w:b/>
              </w:rPr>
            </w:pPr>
            <w:r w:rsidRPr="00167721">
              <w:rPr>
                <w:rFonts w:cs="Arial"/>
                <w:b/>
                <w:szCs w:val="22"/>
              </w:rPr>
              <w:t>Week 4</w:t>
            </w:r>
          </w:p>
          <w:p w14:paraId="6D16539C" w14:textId="77777777" w:rsidR="00817704" w:rsidRPr="00167721" w:rsidRDefault="00817704" w:rsidP="00167721">
            <w:pPr>
              <w:jc w:val="center"/>
              <w:rPr>
                <w:rFonts w:cs="Arial"/>
                <w:b/>
              </w:rPr>
            </w:pPr>
          </w:p>
        </w:tc>
        <w:tc>
          <w:tcPr>
            <w:tcW w:w="1489" w:type="pct"/>
            <w:vAlign w:val="center"/>
          </w:tcPr>
          <w:p w14:paraId="0C928B06" w14:textId="77777777" w:rsidR="00817704" w:rsidRPr="00167721" w:rsidRDefault="00817704" w:rsidP="008213F6">
            <w:pPr>
              <w:spacing w:before="120" w:after="120"/>
              <w:jc w:val="center"/>
              <w:rPr>
                <w:rFonts w:cs="Arial"/>
                <w:sz w:val="20"/>
                <w:szCs w:val="20"/>
              </w:rPr>
            </w:pPr>
            <w:r w:rsidRPr="00167721">
              <w:rPr>
                <w:rFonts w:cs="Arial"/>
                <w:sz w:val="20"/>
                <w:szCs w:val="20"/>
              </w:rPr>
              <w:t>Calculating simple interest using spreadsheets</w:t>
            </w:r>
          </w:p>
        </w:tc>
        <w:tc>
          <w:tcPr>
            <w:tcW w:w="1586" w:type="pct"/>
            <w:vAlign w:val="center"/>
          </w:tcPr>
          <w:p w14:paraId="6CEC28B0" w14:textId="77777777" w:rsidR="00817704" w:rsidRPr="00167721" w:rsidRDefault="00817704" w:rsidP="00167721">
            <w:pPr>
              <w:spacing w:before="120" w:after="120"/>
              <w:jc w:val="center"/>
              <w:rPr>
                <w:rFonts w:cs="Arial"/>
                <w:sz w:val="20"/>
                <w:szCs w:val="20"/>
                <w:lang w:val="en-US"/>
              </w:rPr>
            </w:pPr>
            <w:r w:rsidRPr="00167721">
              <w:rPr>
                <w:rFonts w:cs="Arial"/>
                <w:sz w:val="20"/>
                <w:szCs w:val="20"/>
              </w:rPr>
              <w:t>Investigation into understanding the differences between simple and compound interest</w:t>
            </w:r>
          </w:p>
        </w:tc>
        <w:tc>
          <w:tcPr>
            <w:tcW w:w="1619" w:type="pct"/>
            <w:vAlign w:val="center"/>
          </w:tcPr>
          <w:p w14:paraId="3AE1DB07" w14:textId="77777777" w:rsidR="00817704" w:rsidRPr="00167721" w:rsidRDefault="00817704" w:rsidP="00E43B49">
            <w:pPr>
              <w:spacing w:before="120"/>
              <w:jc w:val="center"/>
              <w:rPr>
                <w:rFonts w:cs="Arial"/>
                <w:sz w:val="20"/>
                <w:szCs w:val="20"/>
              </w:rPr>
            </w:pPr>
            <w:r w:rsidRPr="00167721">
              <w:rPr>
                <w:rFonts w:cs="Arial"/>
                <w:sz w:val="20"/>
                <w:szCs w:val="20"/>
              </w:rPr>
              <w:t xml:space="preserve">Compound </w:t>
            </w:r>
            <w:r w:rsidR="00E43B49">
              <w:rPr>
                <w:rFonts w:cs="Arial"/>
                <w:sz w:val="20"/>
                <w:szCs w:val="20"/>
              </w:rPr>
              <w:t>i</w:t>
            </w:r>
            <w:r w:rsidRPr="00167721">
              <w:rPr>
                <w:rFonts w:cs="Arial"/>
                <w:sz w:val="20"/>
                <w:szCs w:val="20"/>
              </w:rPr>
              <w:t xml:space="preserve">nterest </w:t>
            </w:r>
          </w:p>
          <w:p w14:paraId="059C7563" w14:textId="77777777" w:rsidR="00817704" w:rsidRDefault="00817704" w:rsidP="008213F6">
            <w:pPr>
              <w:pStyle w:val="ListParagraph"/>
              <w:numPr>
                <w:ilvl w:val="0"/>
                <w:numId w:val="6"/>
              </w:numPr>
              <w:spacing w:before="120" w:after="120"/>
              <w:ind w:left="432" w:hanging="432"/>
              <w:rPr>
                <w:rFonts w:ascii="Arial" w:hAnsi="Arial" w:cs="Arial"/>
                <w:sz w:val="20"/>
                <w:szCs w:val="20"/>
              </w:rPr>
            </w:pPr>
            <w:r w:rsidRPr="00167721">
              <w:rPr>
                <w:rFonts w:ascii="Arial" w:hAnsi="Arial" w:cs="Arial"/>
                <w:sz w:val="20"/>
                <w:szCs w:val="20"/>
              </w:rPr>
              <w:t>Using the formula to calculate amount accrued</w:t>
            </w:r>
          </w:p>
          <w:p w14:paraId="5E500246" w14:textId="77777777" w:rsidR="00817704" w:rsidRPr="008213F6" w:rsidRDefault="00817704" w:rsidP="008213F6">
            <w:pPr>
              <w:pStyle w:val="ListParagraph"/>
              <w:numPr>
                <w:ilvl w:val="0"/>
                <w:numId w:val="6"/>
              </w:numPr>
              <w:spacing w:before="120" w:after="120"/>
              <w:ind w:left="432" w:hanging="432"/>
              <w:rPr>
                <w:rFonts w:ascii="Arial" w:hAnsi="Arial" w:cs="Arial"/>
                <w:sz w:val="20"/>
                <w:szCs w:val="20"/>
              </w:rPr>
            </w:pPr>
            <w:r w:rsidRPr="008213F6">
              <w:rPr>
                <w:rFonts w:ascii="Arial" w:hAnsi="Arial" w:cs="Arial"/>
                <w:sz w:val="20"/>
                <w:szCs w:val="20"/>
              </w:rPr>
              <w:t>Rearranging the formula and to find principal</w:t>
            </w:r>
            <w:r w:rsidRPr="008213F6">
              <w:rPr>
                <w:rFonts w:cs="Arial"/>
                <w:sz w:val="20"/>
                <w:szCs w:val="20"/>
              </w:rPr>
              <w:t xml:space="preserve"> </w:t>
            </w:r>
          </w:p>
        </w:tc>
      </w:tr>
      <w:tr w:rsidR="00817704" w:rsidRPr="007F4277" w14:paraId="37EBD59A" w14:textId="77777777" w:rsidTr="00C6513C">
        <w:trPr>
          <w:trHeight w:val="1040"/>
          <w:jc w:val="center"/>
        </w:trPr>
        <w:tc>
          <w:tcPr>
            <w:tcW w:w="306" w:type="pct"/>
            <w:shd w:val="clear" w:color="auto" w:fill="BFBFBF"/>
            <w:vAlign w:val="center"/>
          </w:tcPr>
          <w:p w14:paraId="05B61685" w14:textId="77777777" w:rsidR="00817704" w:rsidRPr="00167721" w:rsidRDefault="00817704" w:rsidP="00261BF2">
            <w:pPr>
              <w:jc w:val="center"/>
              <w:rPr>
                <w:rFonts w:cs="Arial"/>
                <w:b/>
              </w:rPr>
            </w:pPr>
            <w:r w:rsidRPr="00167721">
              <w:rPr>
                <w:rFonts w:cs="Arial"/>
                <w:b/>
                <w:szCs w:val="22"/>
              </w:rPr>
              <w:t>Week 5</w:t>
            </w:r>
          </w:p>
          <w:p w14:paraId="358A91B5" w14:textId="77777777" w:rsidR="00817704" w:rsidRPr="00167721" w:rsidRDefault="00817704" w:rsidP="00261BF2">
            <w:pPr>
              <w:jc w:val="center"/>
              <w:rPr>
                <w:rFonts w:cs="Arial"/>
                <w:b/>
              </w:rPr>
            </w:pPr>
          </w:p>
        </w:tc>
        <w:tc>
          <w:tcPr>
            <w:tcW w:w="1489" w:type="pct"/>
            <w:vAlign w:val="center"/>
          </w:tcPr>
          <w:p w14:paraId="200498BC" w14:textId="77777777" w:rsidR="00817704" w:rsidRPr="00167721" w:rsidRDefault="00817704" w:rsidP="00167721">
            <w:pPr>
              <w:spacing w:before="120" w:after="120"/>
              <w:jc w:val="center"/>
              <w:rPr>
                <w:rFonts w:cs="Arial"/>
                <w:sz w:val="20"/>
                <w:szCs w:val="20"/>
              </w:rPr>
            </w:pPr>
            <w:r w:rsidRPr="00167721">
              <w:rPr>
                <w:rFonts w:cs="Arial"/>
                <w:sz w:val="20"/>
                <w:szCs w:val="20"/>
              </w:rPr>
              <w:t xml:space="preserve">Impact of changing the number </w:t>
            </w:r>
            <w:r w:rsidR="00E43B49">
              <w:rPr>
                <w:rFonts w:cs="Arial"/>
                <w:sz w:val="20"/>
                <w:szCs w:val="20"/>
              </w:rPr>
              <w:t>of compounding periods per year</w:t>
            </w:r>
          </w:p>
        </w:tc>
        <w:tc>
          <w:tcPr>
            <w:tcW w:w="1586" w:type="pct"/>
            <w:vAlign w:val="center"/>
          </w:tcPr>
          <w:p w14:paraId="6B641ED0" w14:textId="77777777" w:rsidR="00817704" w:rsidRPr="00167721" w:rsidRDefault="00817704" w:rsidP="00167721">
            <w:pPr>
              <w:spacing w:before="120" w:after="120"/>
              <w:jc w:val="center"/>
              <w:rPr>
                <w:rFonts w:cs="Arial"/>
                <w:sz w:val="20"/>
                <w:szCs w:val="20"/>
              </w:rPr>
            </w:pPr>
            <w:r w:rsidRPr="00167721">
              <w:rPr>
                <w:rFonts w:cs="Arial"/>
                <w:sz w:val="20"/>
                <w:szCs w:val="20"/>
              </w:rPr>
              <w:t>Using technology to calculate amount ac</w:t>
            </w:r>
            <w:r w:rsidR="00E43B49">
              <w:rPr>
                <w:rFonts w:cs="Arial"/>
                <w:sz w:val="20"/>
                <w:szCs w:val="20"/>
              </w:rPr>
              <w:t>crued, principal, rate and time</w:t>
            </w:r>
          </w:p>
        </w:tc>
        <w:tc>
          <w:tcPr>
            <w:tcW w:w="1619" w:type="pct"/>
            <w:vAlign w:val="center"/>
          </w:tcPr>
          <w:p w14:paraId="7AFF0C71" w14:textId="77777777" w:rsidR="00817704" w:rsidRDefault="00817704" w:rsidP="00E43B49">
            <w:pPr>
              <w:spacing w:before="120" w:after="120"/>
              <w:jc w:val="center"/>
              <w:rPr>
                <w:rFonts w:cs="Arial"/>
                <w:sz w:val="20"/>
                <w:szCs w:val="20"/>
              </w:rPr>
            </w:pPr>
            <w:r w:rsidRPr="00167721">
              <w:rPr>
                <w:rFonts w:cs="Arial"/>
                <w:sz w:val="20"/>
                <w:szCs w:val="20"/>
              </w:rPr>
              <w:t>Using technology to calculate amount accrued, principal, rate and time</w:t>
            </w:r>
            <w:r w:rsidR="00E43B49">
              <w:rPr>
                <w:rFonts w:cs="Arial"/>
                <w:sz w:val="20"/>
                <w:szCs w:val="20"/>
              </w:rPr>
              <w:t>, i</w:t>
            </w:r>
            <w:r w:rsidRPr="00167721">
              <w:rPr>
                <w:rFonts w:cs="Arial"/>
                <w:sz w:val="20"/>
                <w:szCs w:val="20"/>
              </w:rPr>
              <w:t>ncluding an in-depth look at the impact of changing pr</w:t>
            </w:r>
            <w:r w:rsidR="00E43B49">
              <w:rPr>
                <w:rFonts w:cs="Arial"/>
                <w:sz w:val="20"/>
                <w:szCs w:val="20"/>
              </w:rPr>
              <w:t>incipal, interest rate and time</w:t>
            </w:r>
          </w:p>
          <w:p w14:paraId="258D470F" w14:textId="77777777" w:rsidR="00817704" w:rsidRPr="00167721" w:rsidRDefault="00E43B49" w:rsidP="00167721">
            <w:pPr>
              <w:spacing w:before="120" w:after="120"/>
              <w:jc w:val="center"/>
              <w:rPr>
                <w:rFonts w:cs="Arial"/>
                <w:sz w:val="20"/>
                <w:szCs w:val="20"/>
              </w:rPr>
            </w:pPr>
            <w:r>
              <w:rPr>
                <w:rFonts w:cs="Arial"/>
                <w:sz w:val="20"/>
                <w:szCs w:val="20"/>
              </w:rPr>
              <w:t>Compound i</w:t>
            </w:r>
            <w:r w:rsidR="00817704" w:rsidRPr="00167721">
              <w:rPr>
                <w:rFonts w:cs="Arial"/>
                <w:sz w:val="20"/>
                <w:szCs w:val="20"/>
              </w:rPr>
              <w:t>nterest using spreadsheets</w:t>
            </w:r>
          </w:p>
        </w:tc>
      </w:tr>
      <w:tr w:rsidR="00817704" w:rsidRPr="007F4277" w14:paraId="2533A567" w14:textId="77777777" w:rsidTr="00C6513C">
        <w:trPr>
          <w:trHeight w:val="1040"/>
          <w:jc w:val="center"/>
        </w:trPr>
        <w:tc>
          <w:tcPr>
            <w:tcW w:w="306" w:type="pct"/>
            <w:shd w:val="clear" w:color="auto" w:fill="BFBFBF"/>
            <w:vAlign w:val="center"/>
          </w:tcPr>
          <w:p w14:paraId="6D6E55E6" w14:textId="77777777" w:rsidR="00817704" w:rsidRPr="00167721" w:rsidRDefault="00817704" w:rsidP="00261BF2">
            <w:pPr>
              <w:jc w:val="center"/>
              <w:rPr>
                <w:rFonts w:cs="Arial"/>
                <w:b/>
              </w:rPr>
            </w:pPr>
            <w:r w:rsidRPr="00167721">
              <w:rPr>
                <w:rFonts w:cs="Arial"/>
                <w:b/>
                <w:szCs w:val="22"/>
              </w:rPr>
              <w:t>Week 6</w:t>
            </w:r>
          </w:p>
          <w:p w14:paraId="3CE25A68" w14:textId="77777777" w:rsidR="00817704" w:rsidRPr="00167721" w:rsidRDefault="00817704" w:rsidP="00261BF2">
            <w:pPr>
              <w:jc w:val="center"/>
              <w:rPr>
                <w:rFonts w:cs="Arial"/>
                <w:b/>
              </w:rPr>
            </w:pPr>
          </w:p>
        </w:tc>
        <w:tc>
          <w:tcPr>
            <w:tcW w:w="1489" w:type="pct"/>
            <w:vAlign w:val="center"/>
          </w:tcPr>
          <w:p w14:paraId="52B31961" w14:textId="77777777" w:rsidR="00817704" w:rsidRPr="00167721" w:rsidRDefault="00817704" w:rsidP="00167721">
            <w:pPr>
              <w:spacing w:before="120" w:after="120"/>
              <w:jc w:val="center"/>
              <w:rPr>
                <w:rFonts w:cs="Arial"/>
                <w:sz w:val="20"/>
                <w:szCs w:val="20"/>
              </w:rPr>
            </w:pPr>
            <w:r w:rsidRPr="00167721">
              <w:rPr>
                <w:rFonts w:cs="Arial"/>
                <w:sz w:val="20"/>
                <w:szCs w:val="20"/>
              </w:rPr>
              <w:t xml:space="preserve">Looking at simple interest verses compound </w:t>
            </w:r>
            <w:r w:rsidR="00E43B49">
              <w:rPr>
                <w:rFonts w:cs="Arial"/>
                <w:sz w:val="20"/>
                <w:szCs w:val="20"/>
              </w:rPr>
              <w:t>interest graphically</w:t>
            </w:r>
          </w:p>
        </w:tc>
        <w:tc>
          <w:tcPr>
            <w:tcW w:w="1586" w:type="pct"/>
            <w:vAlign w:val="center"/>
          </w:tcPr>
          <w:p w14:paraId="3BE170A9" w14:textId="77777777" w:rsidR="00817704" w:rsidRPr="00167721" w:rsidRDefault="00817704" w:rsidP="00167721">
            <w:pPr>
              <w:spacing w:before="120" w:after="120"/>
              <w:jc w:val="center"/>
              <w:rPr>
                <w:rFonts w:cs="Arial"/>
                <w:sz w:val="20"/>
                <w:szCs w:val="20"/>
              </w:rPr>
            </w:pPr>
            <w:r w:rsidRPr="00167721">
              <w:rPr>
                <w:rFonts w:cs="Arial"/>
                <w:sz w:val="20"/>
                <w:szCs w:val="20"/>
              </w:rPr>
              <w:t>REVISION</w:t>
            </w:r>
          </w:p>
        </w:tc>
        <w:tc>
          <w:tcPr>
            <w:tcW w:w="1619" w:type="pct"/>
            <w:vAlign w:val="center"/>
          </w:tcPr>
          <w:p w14:paraId="52ABD5BD" w14:textId="77777777" w:rsidR="00817704" w:rsidRPr="00B6420B" w:rsidRDefault="00817704" w:rsidP="00B6420B">
            <w:pPr>
              <w:jc w:val="center"/>
              <w:rPr>
                <w:rFonts w:cs="Arial"/>
                <w:b/>
                <w:color w:val="FF0000"/>
              </w:rPr>
            </w:pPr>
            <w:r>
              <w:rPr>
                <w:rFonts w:cs="Arial"/>
                <w:b/>
                <w:color w:val="FF0000"/>
                <w:szCs w:val="22"/>
              </w:rPr>
              <w:t>INVESTING – SAT TWO</w:t>
            </w:r>
          </w:p>
        </w:tc>
      </w:tr>
      <w:tr w:rsidR="00817704" w:rsidRPr="007F4277" w14:paraId="0E6D53AA" w14:textId="77777777" w:rsidTr="00261BF2">
        <w:trPr>
          <w:trHeight w:val="1040"/>
          <w:jc w:val="center"/>
        </w:trPr>
        <w:tc>
          <w:tcPr>
            <w:tcW w:w="306" w:type="pct"/>
            <w:shd w:val="clear" w:color="auto" w:fill="BFBFBF"/>
            <w:vAlign w:val="center"/>
          </w:tcPr>
          <w:p w14:paraId="495D2FEB" w14:textId="77777777" w:rsidR="00817704" w:rsidRPr="00167721" w:rsidRDefault="00817704" w:rsidP="00261BF2">
            <w:pPr>
              <w:jc w:val="center"/>
              <w:rPr>
                <w:rFonts w:cs="Arial"/>
                <w:b/>
              </w:rPr>
            </w:pPr>
            <w:r w:rsidRPr="00167721">
              <w:rPr>
                <w:rFonts w:cs="Arial"/>
                <w:b/>
                <w:szCs w:val="22"/>
              </w:rPr>
              <w:lastRenderedPageBreak/>
              <w:t>Week 7</w:t>
            </w:r>
          </w:p>
          <w:p w14:paraId="17041980" w14:textId="77777777" w:rsidR="00817704" w:rsidRPr="00167721" w:rsidRDefault="00817704" w:rsidP="00261BF2">
            <w:pPr>
              <w:jc w:val="center"/>
              <w:rPr>
                <w:rFonts w:cs="Arial"/>
                <w:b/>
              </w:rPr>
            </w:pPr>
          </w:p>
        </w:tc>
        <w:tc>
          <w:tcPr>
            <w:tcW w:w="4694" w:type="pct"/>
            <w:gridSpan w:val="3"/>
            <w:vAlign w:val="center"/>
          </w:tcPr>
          <w:p w14:paraId="1352EFC9" w14:textId="77777777" w:rsidR="00817704" w:rsidRPr="00E43B49" w:rsidRDefault="00E43B49" w:rsidP="00261BF2">
            <w:pPr>
              <w:jc w:val="center"/>
              <w:rPr>
                <w:rFonts w:cs="Arial"/>
                <w:sz w:val="20"/>
                <w:szCs w:val="20"/>
              </w:rPr>
            </w:pPr>
            <w:r>
              <w:rPr>
                <w:rFonts w:cs="Arial"/>
                <w:sz w:val="20"/>
                <w:szCs w:val="20"/>
              </w:rPr>
              <w:t>Exam week</w:t>
            </w:r>
          </w:p>
          <w:p w14:paraId="6FC5B2E8" w14:textId="77777777" w:rsidR="00817704" w:rsidRPr="00E43B49" w:rsidRDefault="00817704" w:rsidP="00261BF2">
            <w:pPr>
              <w:spacing w:before="120" w:after="120"/>
              <w:jc w:val="center"/>
              <w:rPr>
                <w:rFonts w:cs="Arial"/>
                <w:i/>
                <w:iCs/>
                <w:sz w:val="20"/>
                <w:szCs w:val="20"/>
              </w:rPr>
            </w:pPr>
            <w:r w:rsidRPr="00E43B49">
              <w:rPr>
                <w:rFonts w:cs="Arial"/>
                <w:i/>
                <w:iCs/>
                <w:sz w:val="20"/>
                <w:szCs w:val="20"/>
              </w:rPr>
              <w:t>If students are continuing on to Stage 2 Essential Mathematics, undertaking an exam would be good preparation for the Stage 2 examination.</w:t>
            </w:r>
          </w:p>
        </w:tc>
      </w:tr>
    </w:tbl>
    <w:p w14:paraId="132F4B18" w14:textId="77777777" w:rsidR="00817704" w:rsidRDefault="00817704"/>
    <w:p w14:paraId="1860A340" w14:textId="77777777" w:rsidR="00817704" w:rsidRDefault="00817704"/>
    <w:p w14:paraId="4E638552" w14:textId="77777777" w:rsidR="00817704" w:rsidRDefault="00817704"/>
    <w:p w14:paraId="5AFE8808" w14:textId="77777777" w:rsidR="00817704" w:rsidRDefault="00817704"/>
    <w:p w14:paraId="71B594A9" w14:textId="77777777" w:rsidR="00817704" w:rsidRDefault="00817704" w:rsidP="00FF633E">
      <w:pPr>
        <w:rPr>
          <w:rFonts w:cs="Arial"/>
          <w:szCs w:val="22"/>
        </w:rPr>
      </w:pPr>
    </w:p>
    <w:p w14:paraId="5E151DF7" w14:textId="77777777" w:rsidR="00817704" w:rsidRDefault="00817704" w:rsidP="00E17565">
      <w:pPr>
        <w:rPr>
          <w:rFonts w:cs="Arial"/>
          <w:szCs w:val="22"/>
        </w:rPr>
      </w:pPr>
    </w:p>
    <w:p w14:paraId="6B2B6F42" w14:textId="77777777" w:rsidR="00817704" w:rsidRPr="007F4277" w:rsidRDefault="00817704" w:rsidP="00E17565">
      <w:pPr>
        <w:rPr>
          <w:rFonts w:cs="Arial"/>
          <w:szCs w:val="22"/>
        </w:rPr>
      </w:pPr>
    </w:p>
    <w:sectPr w:rsidR="00817704" w:rsidRPr="007F4277" w:rsidSect="000C1125">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397" w:bottom="567" w:left="709"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2341" w14:textId="77777777" w:rsidR="00725750" w:rsidRDefault="00725750" w:rsidP="00FF633E">
      <w:r>
        <w:separator/>
      </w:r>
    </w:p>
  </w:endnote>
  <w:endnote w:type="continuationSeparator" w:id="0">
    <w:p w14:paraId="4A18656F" w14:textId="77777777" w:rsidR="00725750" w:rsidRDefault="00725750" w:rsidP="00FF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DE03" w14:textId="77777777" w:rsidR="00CC7FA9" w:rsidRDefault="00CC7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C248" w14:textId="77777777" w:rsidR="000C1125" w:rsidRDefault="000C1125" w:rsidP="000C1125">
    <w:pPr>
      <w:rPr>
        <w:rFonts w:cs="Arial"/>
        <w:szCs w:val="22"/>
        <w:lang w:val="en-US"/>
      </w:rPr>
    </w:pPr>
  </w:p>
  <w:p w14:paraId="3C5A2AF5" w14:textId="77777777" w:rsidR="000C1125" w:rsidRDefault="000C1125" w:rsidP="000C1125">
    <w:pPr>
      <w:tabs>
        <w:tab w:val="right" w:pos="10204"/>
        <w:tab w:val="right" w:pos="15593"/>
      </w:tabs>
      <w:rPr>
        <w:rFonts w:cs="Arial"/>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F0248A">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0248A">
      <w:rPr>
        <w:noProof/>
        <w:sz w:val="18"/>
        <w:szCs w:val="18"/>
      </w:rPr>
      <w:t>4</w:t>
    </w:r>
    <w:r>
      <w:rPr>
        <w:sz w:val="18"/>
        <w:szCs w:val="18"/>
      </w:rPr>
      <w:fldChar w:fldCharType="end"/>
    </w:r>
    <w:r>
      <w:rPr>
        <w:sz w:val="18"/>
        <w:szCs w:val="18"/>
      </w:rPr>
      <w:tab/>
    </w:r>
    <w:r>
      <w:rPr>
        <w:sz w:val="18"/>
        <w:szCs w:val="18"/>
      </w:rPr>
      <w:tab/>
    </w:r>
    <w:r w:rsidRPr="00FA09AD">
      <w:rPr>
        <w:sz w:val="16"/>
        <w:szCs w:val="16"/>
      </w:rPr>
      <w:t xml:space="preserve">Stage 1 </w:t>
    </w:r>
    <w:r>
      <w:rPr>
        <w:sz w:val="16"/>
        <w:szCs w:val="16"/>
      </w:rPr>
      <w:t>Essen</w:t>
    </w:r>
    <w:r w:rsidR="00F0248A">
      <w:rPr>
        <w:sz w:val="16"/>
        <w:szCs w:val="16"/>
      </w:rPr>
      <w:t>tial Mathematics – Program 2 – t</w:t>
    </w:r>
    <w:r>
      <w:rPr>
        <w:sz w:val="16"/>
        <w:szCs w:val="16"/>
      </w:rPr>
      <w:t>rade focus – semester 2</w:t>
    </w:r>
  </w:p>
  <w:p w14:paraId="6A2EDAEF" w14:textId="2A01643E" w:rsidR="000C1125" w:rsidRDefault="000C1125" w:rsidP="000C1125">
    <w:pPr>
      <w:pStyle w:val="LAPFooter"/>
      <w:tabs>
        <w:tab w:val="clear" w:pos="9639"/>
        <w:tab w:val="clear" w:pos="14742"/>
        <w:tab w:val="right" w:pos="10206"/>
        <w:tab w:val="right" w:pos="15593"/>
      </w:tabs>
    </w:pPr>
    <w:r>
      <w:tab/>
    </w:r>
    <w:r>
      <w:tab/>
      <w:t>Ref: A</w:t>
    </w:r>
    <w:r w:rsidR="00CC7FA9">
      <w:t>1447245</w:t>
    </w:r>
    <w:r>
      <w:t xml:space="preserve"> (</w:t>
    </w:r>
    <w:r w:rsidR="00CC7FA9">
      <w:t>updated November 2024</w:t>
    </w:r>
    <w:r>
      <w:t>)</w:t>
    </w:r>
  </w:p>
  <w:p w14:paraId="2291EC2D" w14:textId="77777777" w:rsidR="000C1125" w:rsidRDefault="000C1125" w:rsidP="000C1125">
    <w:pPr>
      <w:pStyle w:val="LAPFooter"/>
      <w:tabs>
        <w:tab w:val="clear" w:pos="9639"/>
        <w:tab w:val="clear" w:pos="14742"/>
        <w:tab w:val="right" w:pos="10206"/>
        <w:tab w:val="right" w:pos="15593"/>
      </w:tabs>
    </w:pPr>
    <w:r>
      <w:tab/>
    </w:r>
    <w:r>
      <w:tab/>
      <w:t>© SACE Board of South Australia 2015</w:t>
    </w:r>
  </w:p>
  <w:p w14:paraId="531E3CA9" w14:textId="77777777" w:rsidR="00817704" w:rsidRPr="000C1125" w:rsidRDefault="00817704" w:rsidP="000C1125">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03D8" w14:textId="77777777" w:rsidR="00CC7FA9" w:rsidRDefault="00CC7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D369" w14:textId="77777777" w:rsidR="00725750" w:rsidRDefault="00725750" w:rsidP="00FF633E">
      <w:r>
        <w:separator/>
      </w:r>
    </w:p>
  </w:footnote>
  <w:footnote w:type="continuationSeparator" w:id="0">
    <w:p w14:paraId="10CC6885" w14:textId="77777777" w:rsidR="00725750" w:rsidRDefault="00725750" w:rsidP="00FF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0C6A" w14:textId="77777777" w:rsidR="00CC7FA9" w:rsidRDefault="00CC7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F1A5" w14:textId="77777777" w:rsidR="00CC7FA9" w:rsidRDefault="00CC7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C25" w14:textId="77777777" w:rsidR="00CC7FA9" w:rsidRDefault="00CC7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EEF"/>
    <w:multiLevelType w:val="hybridMultilevel"/>
    <w:tmpl w:val="8F183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B66821"/>
    <w:multiLevelType w:val="hybridMultilevel"/>
    <w:tmpl w:val="8D3476FA"/>
    <w:lvl w:ilvl="0" w:tplc="D72AE1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C2DC3"/>
    <w:multiLevelType w:val="hybridMultilevel"/>
    <w:tmpl w:val="A3D0F0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2F0B0287"/>
    <w:multiLevelType w:val="hybridMultilevel"/>
    <w:tmpl w:val="4FDA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070857"/>
    <w:multiLevelType w:val="hybridMultilevel"/>
    <w:tmpl w:val="D30C1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840A47"/>
    <w:multiLevelType w:val="hybridMultilevel"/>
    <w:tmpl w:val="D7489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080096"/>
    <w:multiLevelType w:val="hybridMultilevel"/>
    <w:tmpl w:val="E5E62758"/>
    <w:lvl w:ilvl="0" w:tplc="DBE2EF4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922704"/>
    <w:multiLevelType w:val="hybridMultilevel"/>
    <w:tmpl w:val="F19EC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454C36"/>
    <w:multiLevelType w:val="hybridMultilevel"/>
    <w:tmpl w:val="E3003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B408C9"/>
    <w:multiLevelType w:val="hybridMultilevel"/>
    <w:tmpl w:val="5D9E036A"/>
    <w:lvl w:ilvl="0" w:tplc="DBE2EF4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FB7E1A"/>
    <w:multiLevelType w:val="hybridMultilevel"/>
    <w:tmpl w:val="CCCC2B90"/>
    <w:lvl w:ilvl="0" w:tplc="A38812CE">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391C3A"/>
    <w:multiLevelType w:val="hybridMultilevel"/>
    <w:tmpl w:val="2C342A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75A20C77"/>
    <w:multiLevelType w:val="hybridMultilevel"/>
    <w:tmpl w:val="CBC040C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204223074">
    <w:abstractNumId w:val="3"/>
  </w:num>
  <w:num w:numId="2" w16cid:durableId="454523865">
    <w:abstractNumId w:val="5"/>
  </w:num>
  <w:num w:numId="3" w16cid:durableId="1674599887">
    <w:abstractNumId w:val="0"/>
  </w:num>
  <w:num w:numId="4" w16cid:durableId="1880043439">
    <w:abstractNumId w:val="9"/>
  </w:num>
  <w:num w:numId="5" w16cid:durableId="77412285">
    <w:abstractNumId w:val="12"/>
  </w:num>
  <w:num w:numId="6" w16cid:durableId="122843669">
    <w:abstractNumId w:val="11"/>
  </w:num>
  <w:num w:numId="7" w16cid:durableId="1949197683">
    <w:abstractNumId w:val="6"/>
  </w:num>
  <w:num w:numId="8" w16cid:durableId="514224493">
    <w:abstractNumId w:val="10"/>
  </w:num>
  <w:num w:numId="9" w16cid:durableId="1871331132">
    <w:abstractNumId w:val="1"/>
  </w:num>
  <w:num w:numId="10" w16cid:durableId="1448543276">
    <w:abstractNumId w:val="7"/>
  </w:num>
  <w:num w:numId="11" w16cid:durableId="2081249463">
    <w:abstractNumId w:val="4"/>
  </w:num>
  <w:num w:numId="12" w16cid:durableId="984815451">
    <w:abstractNumId w:val="8"/>
  </w:num>
  <w:num w:numId="13" w16cid:durableId="1734694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7565"/>
    <w:rsid w:val="00016B72"/>
    <w:rsid w:val="0002154F"/>
    <w:rsid w:val="00052E0C"/>
    <w:rsid w:val="000577C5"/>
    <w:rsid w:val="00061B4F"/>
    <w:rsid w:val="000622F9"/>
    <w:rsid w:val="00076603"/>
    <w:rsid w:val="00082375"/>
    <w:rsid w:val="0008566D"/>
    <w:rsid w:val="00093C68"/>
    <w:rsid w:val="0009748B"/>
    <w:rsid w:val="000A3678"/>
    <w:rsid w:val="000A7353"/>
    <w:rsid w:val="000C1125"/>
    <w:rsid w:val="000C1321"/>
    <w:rsid w:val="000C4F9A"/>
    <w:rsid w:val="000C598E"/>
    <w:rsid w:val="000C7C00"/>
    <w:rsid w:val="000D18ED"/>
    <w:rsid w:val="000E0F88"/>
    <w:rsid w:val="000E29FA"/>
    <w:rsid w:val="00103ED6"/>
    <w:rsid w:val="00103F27"/>
    <w:rsid w:val="00104683"/>
    <w:rsid w:val="00104FF9"/>
    <w:rsid w:val="00107274"/>
    <w:rsid w:val="00112514"/>
    <w:rsid w:val="0012755B"/>
    <w:rsid w:val="00130E40"/>
    <w:rsid w:val="00137BE6"/>
    <w:rsid w:val="00162A76"/>
    <w:rsid w:val="00163CDF"/>
    <w:rsid w:val="00165278"/>
    <w:rsid w:val="00165F1C"/>
    <w:rsid w:val="00167721"/>
    <w:rsid w:val="00182949"/>
    <w:rsid w:val="00191312"/>
    <w:rsid w:val="001978FC"/>
    <w:rsid w:val="001A0058"/>
    <w:rsid w:val="001A2A44"/>
    <w:rsid w:val="001A3F28"/>
    <w:rsid w:val="001B4765"/>
    <w:rsid w:val="001B4B1D"/>
    <w:rsid w:val="001C0E05"/>
    <w:rsid w:val="001C1BA5"/>
    <w:rsid w:val="001C5C97"/>
    <w:rsid w:val="001C6D9F"/>
    <w:rsid w:val="001C727E"/>
    <w:rsid w:val="001D5AD9"/>
    <w:rsid w:val="001E03B1"/>
    <w:rsid w:val="001F1AE5"/>
    <w:rsid w:val="001F1FD3"/>
    <w:rsid w:val="00215D39"/>
    <w:rsid w:val="00222970"/>
    <w:rsid w:val="00231955"/>
    <w:rsid w:val="002322D0"/>
    <w:rsid w:val="00244FD0"/>
    <w:rsid w:val="00246BB2"/>
    <w:rsid w:val="00247327"/>
    <w:rsid w:val="00261BF2"/>
    <w:rsid w:val="002835AB"/>
    <w:rsid w:val="00283BF8"/>
    <w:rsid w:val="002A0AAE"/>
    <w:rsid w:val="002A1A83"/>
    <w:rsid w:val="002A1AA7"/>
    <w:rsid w:val="002A6C8A"/>
    <w:rsid w:val="002A7631"/>
    <w:rsid w:val="002B0083"/>
    <w:rsid w:val="002D2031"/>
    <w:rsid w:val="002E1D63"/>
    <w:rsid w:val="002E4F8F"/>
    <w:rsid w:val="002F0FB0"/>
    <w:rsid w:val="002F72F1"/>
    <w:rsid w:val="00337ECC"/>
    <w:rsid w:val="00350559"/>
    <w:rsid w:val="0035413B"/>
    <w:rsid w:val="00372C57"/>
    <w:rsid w:val="00377E45"/>
    <w:rsid w:val="00381355"/>
    <w:rsid w:val="003934EB"/>
    <w:rsid w:val="00394BBA"/>
    <w:rsid w:val="00396FDA"/>
    <w:rsid w:val="003A0F6A"/>
    <w:rsid w:val="003C459E"/>
    <w:rsid w:val="003E2DB8"/>
    <w:rsid w:val="003F0E3C"/>
    <w:rsid w:val="003F6F33"/>
    <w:rsid w:val="00401BF3"/>
    <w:rsid w:val="00426990"/>
    <w:rsid w:val="00432613"/>
    <w:rsid w:val="00436163"/>
    <w:rsid w:val="00437369"/>
    <w:rsid w:val="004403F4"/>
    <w:rsid w:val="0046293B"/>
    <w:rsid w:val="00467A59"/>
    <w:rsid w:val="00483784"/>
    <w:rsid w:val="004A3CBF"/>
    <w:rsid w:val="004B299E"/>
    <w:rsid w:val="004C2DB7"/>
    <w:rsid w:val="004D3A26"/>
    <w:rsid w:val="005154D3"/>
    <w:rsid w:val="00517C12"/>
    <w:rsid w:val="005311CB"/>
    <w:rsid w:val="0053142A"/>
    <w:rsid w:val="00550A0A"/>
    <w:rsid w:val="00566BA6"/>
    <w:rsid w:val="00573121"/>
    <w:rsid w:val="0058617F"/>
    <w:rsid w:val="005B6EFD"/>
    <w:rsid w:val="005B7D77"/>
    <w:rsid w:val="005D32C4"/>
    <w:rsid w:val="005D57D5"/>
    <w:rsid w:val="005F5477"/>
    <w:rsid w:val="00600466"/>
    <w:rsid w:val="00610DBD"/>
    <w:rsid w:val="00625095"/>
    <w:rsid w:val="0063019A"/>
    <w:rsid w:val="00630253"/>
    <w:rsid w:val="006351AE"/>
    <w:rsid w:val="00635901"/>
    <w:rsid w:val="006437D0"/>
    <w:rsid w:val="00643FC9"/>
    <w:rsid w:val="006857D0"/>
    <w:rsid w:val="00687DB7"/>
    <w:rsid w:val="00690577"/>
    <w:rsid w:val="006A0E82"/>
    <w:rsid w:val="006A4705"/>
    <w:rsid w:val="006B2063"/>
    <w:rsid w:val="006D571A"/>
    <w:rsid w:val="006D6EB6"/>
    <w:rsid w:val="006E2422"/>
    <w:rsid w:val="006F2EFC"/>
    <w:rsid w:val="007109A5"/>
    <w:rsid w:val="00713A3D"/>
    <w:rsid w:val="00725750"/>
    <w:rsid w:val="00732385"/>
    <w:rsid w:val="0073449A"/>
    <w:rsid w:val="0075171E"/>
    <w:rsid w:val="007545C1"/>
    <w:rsid w:val="00787FAF"/>
    <w:rsid w:val="007A6F91"/>
    <w:rsid w:val="007B1A7A"/>
    <w:rsid w:val="007B5DDB"/>
    <w:rsid w:val="007C3514"/>
    <w:rsid w:val="007C7935"/>
    <w:rsid w:val="007D195A"/>
    <w:rsid w:val="007F4277"/>
    <w:rsid w:val="00801C89"/>
    <w:rsid w:val="00803F15"/>
    <w:rsid w:val="00811F32"/>
    <w:rsid w:val="00812081"/>
    <w:rsid w:val="00817704"/>
    <w:rsid w:val="008213F6"/>
    <w:rsid w:val="00837493"/>
    <w:rsid w:val="0084322B"/>
    <w:rsid w:val="00845098"/>
    <w:rsid w:val="0084540A"/>
    <w:rsid w:val="008525CD"/>
    <w:rsid w:val="00853348"/>
    <w:rsid w:val="00853998"/>
    <w:rsid w:val="00861469"/>
    <w:rsid w:val="00871EBF"/>
    <w:rsid w:val="008827DF"/>
    <w:rsid w:val="0088576A"/>
    <w:rsid w:val="00890FB7"/>
    <w:rsid w:val="008A11C2"/>
    <w:rsid w:val="008B11D0"/>
    <w:rsid w:val="008B2D8E"/>
    <w:rsid w:val="008F2B7B"/>
    <w:rsid w:val="00902DFC"/>
    <w:rsid w:val="00935A71"/>
    <w:rsid w:val="00942441"/>
    <w:rsid w:val="00947C66"/>
    <w:rsid w:val="009571E2"/>
    <w:rsid w:val="00970A9F"/>
    <w:rsid w:val="0098014E"/>
    <w:rsid w:val="00986D39"/>
    <w:rsid w:val="0099249E"/>
    <w:rsid w:val="0099768F"/>
    <w:rsid w:val="009A0D39"/>
    <w:rsid w:val="009A1540"/>
    <w:rsid w:val="009A1B87"/>
    <w:rsid w:val="009A3BB2"/>
    <w:rsid w:val="009C0A17"/>
    <w:rsid w:val="009C4B4F"/>
    <w:rsid w:val="009D42FF"/>
    <w:rsid w:val="009E6863"/>
    <w:rsid w:val="00A06F74"/>
    <w:rsid w:val="00A1225E"/>
    <w:rsid w:val="00A17C2C"/>
    <w:rsid w:val="00A246BF"/>
    <w:rsid w:val="00A300D7"/>
    <w:rsid w:val="00A33624"/>
    <w:rsid w:val="00A35D41"/>
    <w:rsid w:val="00A412D7"/>
    <w:rsid w:val="00A4570E"/>
    <w:rsid w:val="00A47049"/>
    <w:rsid w:val="00A475FA"/>
    <w:rsid w:val="00A4785B"/>
    <w:rsid w:val="00A724B9"/>
    <w:rsid w:val="00A77FA4"/>
    <w:rsid w:val="00A94091"/>
    <w:rsid w:val="00AA4AAB"/>
    <w:rsid w:val="00AB6E84"/>
    <w:rsid w:val="00AC71F8"/>
    <w:rsid w:val="00AE02D7"/>
    <w:rsid w:val="00B12D68"/>
    <w:rsid w:val="00B21EB8"/>
    <w:rsid w:val="00B22609"/>
    <w:rsid w:val="00B45016"/>
    <w:rsid w:val="00B547CE"/>
    <w:rsid w:val="00B56EDC"/>
    <w:rsid w:val="00B6420B"/>
    <w:rsid w:val="00B65D3C"/>
    <w:rsid w:val="00B70FA0"/>
    <w:rsid w:val="00B84281"/>
    <w:rsid w:val="00BA160C"/>
    <w:rsid w:val="00BA21FE"/>
    <w:rsid w:val="00BA6444"/>
    <w:rsid w:val="00BA7980"/>
    <w:rsid w:val="00BB7BE0"/>
    <w:rsid w:val="00BC0A30"/>
    <w:rsid w:val="00BD18E8"/>
    <w:rsid w:val="00BE0590"/>
    <w:rsid w:val="00BF2F55"/>
    <w:rsid w:val="00BF7E98"/>
    <w:rsid w:val="00C06B14"/>
    <w:rsid w:val="00C116A7"/>
    <w:rsid w:val="00C13DBD"/>
    <w:rsid w:val="00C24573"/>
    <w:rsid w:val="00C31B27"/>
    <w:rsid w:val="00C6513C"/>
    <w:rsid w:val="00C739D4"/>
    <w:rsid w:val="00C743E5"/>
    <w:rsid w:val="00C76ED0"/>
    <w:rsid w:val="00C92C7A"/>
    <w:rsid w:val="00CB23FF"/>
    <w:rsid w:val="00CC0A60"/>
    <w:rsid w:val="00CC2C3A"/>
    <w:rsid w:val="00CC31B5"/>
    <w:rsid w:val="00CC7FA9"/>
    <w:rsid w:val="00CD2235"/>
    <w:rsid w:val="00CD3D86"/>
    <w:rsid w:val="00CE2D15"/>
    <w:rsid w:val="00CE68E1"/>
    <w:rsid w:val="00D00D48"/>
    <w:rsid w:val="00D25296"/>
    <w:rsid w:val="00D30124"/>
    <w:rsid w:val="00D3359E"/>
    <w:rsid w:val="00D40A40"/>
    <w:rsid w:val="00D51D0E"/>
    <w:rsid w:val="00D80742"/>
    <w:rsid w:val="00D90AD1"/>
    <w:rsid w:val="00D96377"/>
    <w:rsid w:val="00DB3D3B"/>
    <w:rsid w:val="00DC39AF"/>
    <w:rsid w:val="00DC4782"/>
    <w:rsid w:val="00DD3388"/>
    <w:rsid w:val="00DD7157"/>
    <w:rsid w:val="00DE2E76"/>
    <w:rsid w:val="00DE6DFB"/>
    <w:rsid w:val="00DF3525"/>
    <w:rsid w:val="00DF5BE2"/>
    <w:rsid w:val="00E03AEB"/>
    <w:rsid w:val="00E12391"/>
    <w:rsid w:val="00E125B9"/>
    <w:rsid w:val="00E17565"/>
    <w:rsid w:val="00E266F3"/>
    <w:rsid w:val="00E27C81"/>
    <w:rsid w:val="00E30967"/>
    <w:rsid w:val="00E32A70"/>
    <w:rsid w:val="00E3306E"/>
    <w:rsid w:val="00E41A35"/>
    <w:rsid w:val="00E4322D"/>
    <w:rsid w:val="00E43B49"/>
    <w:rsid w:val="00E51810"/>
    <w:rsid w:val="00E53CD9"/>
    <w:rsid w:val="00E61759"/>
    <w:rsid w:val="00EA4945"/>
    <w:rsid w:val="00EB24AD"/>
    <w:rsid w:val="00EC72E9"/>
    <w:rsid w:val="00EE157A"/>
    <w:rsid w:val="00EE5832"/>
    <w:rsid w:val="00EE5C59"/>
    <w:rsid w:val="00F00C5A"/>
    <w:rsid w:val="00F0248A"/>
    <w:rsid w:val="00F27FCE"/>
    <w:rsid w:val="00F42405"/>
    <w:rsid w:val="00F535EC"/>
    <w:rsid w:val="00F56CF7"/>
    <w:rsid w:val="00F653D2"/>
    <w:rsid w:val="00F81058"/>
    <w:rsid w:val="00FD6E81"/>
    <w:rsid w:val="00FF4530"/>
    <w:rsid w:val="00FF633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AE302C"/>
  <w15:docId w15:val="{98A77060-10E4-4666-9E40-0F8DAB97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65"/>
    <w:rPr>
      <w:rFonts w:ascii="Arial" w:eastAsia="Times New Roman" w:hAnsi="Arial" w:cs="Times New Roman"/>
      <w:sz w:val="22"/>
      <w:szCs w:val="24"/>
    </w:rPr>
  </w:style>
  <w:style w:type="paragraph" w:styleId="Heading1">
    <w:name w:val="heading 1"/>
    <w:basedOn w:val="Normal"/>
    <w:next w:val="Normal"/>
    <w:link w:val="Heading1Char"/>
    <w:uiPriority w:val="99"/>
    <w:qFormat/>
    <w:rsid w:val="00E17565"/>
    <w:pPr>
      <w:keepNext/>
      <w:spacing w:after="60"/>
      <w:outlineLvl w:val="0"/>
    </w:pPr>
    <w:rPr>
      <w:rFonts w:eastAsia="Calibri"/>
      <w:b/>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7565"/>
    <w:rPr>
      <w:rFonts w:ascii="Arial" w:hAnsi="Arial"/>
      <w:b/>
      <w:kern w:val="28"/>
      <w:sz w:val="24"/>
      <w:lang w:eastAsia="en-AU"/>
    </w:rPr>
  </w:style>
  <w:style w:type="table" w:styleId="TableGrid">
    <w:name w:val="Table Grid"/>
    <w:basedOn w:val="TableNormal"/>
    <w:uiPriority w:val="99"/>
    <w:rsid w:val="00E1756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17565"/>
    <w:pPr>
      <w:ind w:left="720" w:hanging="357"/>
      <w:contextualSpacing/>
    </w:pPr>
    <w:rPr>
      <w:rFonts w:ascii="Calibri" w:hAnsi="Calibri"/>
      <w:szCs w:val="22"/>
      <w:lang w:eastAsia="en-US"/>
    </w:rPr>
  </w:style>
  <w:style w:type="paragraph" w:customStyle="1" w:styleId="SOFinalContentTableHead1TOP">
    <w:name w:val="SO Final Content Table Head 1 TOP"/>
    <w:uiPriority w:val="99"/>
    <w:rsid w:val="00E17565"/>
    <w:pPr>
      <w:jc w:val="center"/>
    </w:pPr>
    <w:rPr>
      <w:rFonts w:ascii="Arial Narrow" w:eastAsia="Times New Roman" w:hAnsi="Arial Narrow" w:cs="Times New Roman"/>
      <w:b/>
      <w:color w:val="000000"/>
      <w:sz w:val="28"/>
      <w:szCs w:val="24"/>
      <w:lang w:val="en-US" w:eastAsia="en-US"/>
    </w:rPr>
  </w:style>
  <w:style w:type="paragraph" w:styleId="BalloonText">
    <w:name w:val="Balloon Text"/>
    <w:basedOn w:val="Normal"/>
    <w:link w:val="BalloonTextChar"/>
    <w:uiPriority w:val="99"/>
    <w:semiHidden/>
    <w:rsid w:val="00D90AD1"/>
    <w:rPr>
      <w:rFonts w:ascii="Tahoma" w:eastAsia="Calibri" w:hAnsi="Tahoma"/>
      <w:sz w:val="16"/>
      <w:szCs w:val="16"/>
    </w:rPr>
  </w:style>
  <w:style w:type="character" w:customStyle="1" w:styleId="BalloonTextChar">
    <w:name w:val="Balloon Text Char"/>
    <w:link w:val="BalloonText"/>
    <w:uiPriority w:val="99"/>
    <w:semiHidden/>
    <w:locked/>
    <w:rsid w:val="00D90AD1"/>
    <w:rPr>
      <w:rFonts w:ascii="Tahoma" w:hAnsi="Tahoma"/>
      <w:sz w:val="16"/>
      <w:lang w:eastAsia="en-AU"/>
    </w:rPr>
  </w:style>
  <w:style w:type="paragraph" w:styleId="Title">
    <w:name w:val="Title"/>
    <w:basedOn w:val="Normal"/>
    <w:next w:val="Normal"/>
    <w:link w:val="TitleChar"/>
    <w:uiPriority w:val="99"/>
    <w:qFormat/>
    <w:rsid w:val="007F4277"/>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uiPriority w:val="99"/>
    <w:locked/>
    <w:rsid w:val="007F4277"/>
    <w:rPr>
      <w:rFonts w:ascii="Cambria" w:hAnsi="Cambria"/>
      <w:color w:val="17365D"/>
      <w:spacing w:val="5"/>
      <w:kern w:val="28"/>
      <w:sz w:val="52"/>
      <w:lang w:eastAsia="en-AU"/>
    </w:rPr>
  </w:style>
  <w:style w:type="paragraph" w:styleId="Header">
    <w:name w:val="header"/>
    <w:basedOn w:val="Normal"/>
    <w:link w:val="HeaderChar"/>
    <w:uiPriority w:val="99"/>
    <w:rsid w:val="00FF633E"/>
    <w:pPr>
      <w:tabs>
        <w:tab w:val="center" w:pos="4513"/>
        <w:tab w:val="right" w:pos="9026"/>
      </w:tabs>
    </w:pPr>
    <w:rPr>
      <w:rFonts w:eastAsia="Calibri"/>
      <w:sz w:val="24"/>
    </w:rPr>
  </w:style>
  <w:style w:type="character" w:customStyle="1" w:styleId="HeaderChar">
    <w:name w:val="Header Char"/>
    <w:link w:val="Header"/>
    <w:uiPriority w:val="99"/>
    <w:locked/>
    <w:rsid w:val="00FF633E"/>
    <w:rPr>
      <w:rFonts w:ascii="Arial" w:hAnsi="Arial"/>
      <w:sz w:val="24"/>
      <w:lang w:eastAsia="en-AU"/>
    </w:rPr>
  </w:style>
  <w:style w:type="paragraph" w:styleId="Footer">
    <w:name w:val="footer"/>
    <w:basedOn w:val="Normal"/>
    <w:link w:val="FooterChar"/>
    <w:uiPriority w:val="99"/>
    <w:rsid w:val="00FF633E"/>
    <w:pPr>
      <w:tabs>
        <w:tab w:val="center" w:pos="4513"/>
        <w:tab w:val="right" w:pos="9026"/>
      </w:tabs>
    </w:pPr>
    <w:rPr>
      <w:rFonts w:eastAsia="Calibri"/>
      <w:sz w:val="24"/>
    </w:rPr>
  </w:style>
  <w:style w:type="character" w:customStyle="1" w:styleId="FooterChar">
    <w:name w:val="Footer Char"/>
    <w:link w:val="Footer"/>
    <w:uiPriority w:val="99"/>
    <w:locked/>
    <w:rsid w:val="00FF633E"/>
    <w:rPr>
      <w:rFonts w:ascii="Arial" w:hAnsi="Arial"/>
      <w:sz w:val="24"/>
      <w:lang w:eastAsia="en-AU"/>
    </w:rPr>
  </w:style>
  <w:style w:type="character" w:styleId="Hyperlink">
    <w:name w:val="Hyperlink"/>
    <w:uiPriority w:val="99"/>
    <w:rsid w:val="00DE2E76"/>
    <w:rPr>
      <w:rFonts w:cs="Times New Roman"/>
      <w:color w:val="0000FF"/>
      <w:u w:val="single"/>
    </w:rPr>
  </w:style>
  <w:style w:type="character" w:styleId="FollowedHyperlink">
    <w:name w:val="FollowedHyperlink"/>
    <w:uiPriority w:val="99"/>
    <w:semiHidden/>
    <w:rsid w:val="00690577"/>
    <w:rPr>
      <w:rFonts w:cs="Times New Roman"/>
      <w:color w:val="800080"/>
      <w:u w:val="single"/>
    </w:rPr>
  </w:style>
  <w:style w:type="paragraph" w:customStyle="1" w:styleId="LAPFooter">
    <w:name w:val="LAP Footer"/>
    <w:next w:val="Normal"/>
    <w:qFormat/>
    <w:rsid w:val="000C1125"/>
    <w:pPr>
      <w:tabs>
        <w:tab w:val="right" w:pos="9639"/>
        <w:tab w:val="right" w:pos="14742"/>
      </w:tabs>
    </w:pPr>
    <w:rPr>
      <w:rFonts w:ascii="Arial" w:eastAsia="SimSun" w:hAnsi="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nergyrating.gov.au"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abs.gov.au/websitedbs/CaSHome.nsf/Home/MAT06+Misleading+Graph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www.abs.gov.au/websitedbs/CaSHome.nsf/Home/MAT14+Is+Australia+the+Greatest+Olympic+Sporting+Nation"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2aea2841e0e84c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A1447245</value>
    </field>
    <field name="Objective-Title">
      <value order="0">Semester 2  Program - Trade focus</value>
    </field>
    <field name="Objective-Description">
      <value order="0"/>
    </field>
    <field name="Objective-CreationStamp">
      <value order="0">2024-11-19T04:53:27Z</value>
    </field>
    <field name="Objective-IsApproved">
      <value order="0">false</value>
    </field>
    <field name="Objective-IsPublished">
      <value order="0">true</value>
    </field>
    <field name="Objective-DatePublished">
      <value order="0">2024-11-19T05:10:37Z</value>
    </field>
    <field name="Objective-ModificationStamp">
      <value order="0">2024-11-19T05:10:37Z</value>
    </field>
    <field name="Objective-Owner">
      <value order="0">Deanna Isles</value>
    </field>
    <field name="Objective-Path">
      <value order="0">Objective Global Folder:SACE Support Materials:SACE Support Materials Stage 1:Mathematics:Essential Mathematics (from 2025):Teaching and Learning Programs</value>
    </field>
    <field name="Objective-Parent">
      <value order="0">Teaching and Learning Programs</value>
    </field>
    <field name="Objective-State">
      <value order="0">Published</value>
    </field>
    <field name="Objective-VersionId">
      <value order="0">vA2186376</value>
    </field>
    <field name="Objective-Version">
      <value order="0">1.0</value>
    </field>
    <field name="Objective-VersionNumber">
      <value order="0">2</value>
    </field>
    <field name="Objective-VersionComment">
      <value order="0"/>
    </field>
    <field name="Objective-FileNumber">
      <value order="0">qA21326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186310B6-5F95-4037-ABD8-F3C6F931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F5560-79A4-4E82-9AED-0A4F0801DC88}">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91AFAD0E-0633-4CA5-A0AB-DAC83ACA5EB1}">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Stage 1 Essential Mathematics – Semester 2 – Trade focus</vt:lpstr>
    </vt:vector>
  </TitlesOfParts>
  <Company>The University of Adelaide</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Essential Mathematics – Semester 2 – Trade focus</dc:title>
  <dc:creator>Anna Bassani</dc:creator>
  <cp:lastModifiedBy>Isles, Deanna (SACE)</cp:lastModifiedBy>
  <cp:revision>9</cp:revision>
  <cp:lastPrinted>2015-06-30T03:36:00Z</cp:lastPrinted>
  <dcterms:created xsi:type="dcterms:W3CDTF">2015-06-30T03:29:00Z</dcterms:created>
  <dcterms:modified xsi:type="dcterms:W3CDTF">2024-11-19T05:10:00Z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ustomer-Id">
    <vt:lpwstr>CB029ECD6D85427BAD5E1D35DE4A29A4</vt:lpwstr>
  </op:property>
  <op:property fmtid="{D5CDD505-2E9C-101B-9397-08002B2CF9AE}" pid="6" name="Objective-Id">
    <vt:lpwstr>A1447245</vt:lpwstr>
  </op:property>
  <op:property fmtid="{D5CDD505-2E9C-101B-9397-08002B2CF9AE}" pid="7" name="Objective-Title">
    <vt:lpwstr>Semester 2  Program - Trade focus</vt:lpwstr>
  </op:property>
  <op:property fmtid="{D5CDD505-2E9C-101B-9397-08002B2CF9AE}" pid="8" name="Objective-Description">
    <vt:lpwstr/>
  </op:property>
  <op:property fmtid="{D5CDD505-2E9C-101B-9397-08002B2CF9AE}" pid="9" name="Objective-CreationStamp">
    <vt:filetime>2024-11-19T04:53:27Z</vt:filetime>
  </op:property>
  <op:property fmtid="{D5CDD505-2E9C-101B-9397-08002B2CF9AE}" pid="10" name="Objective-IsApproved">
    <vt:bool>false</vt:bool>
  </op:property>
  <op:property fmtid="{D5CDD505-2E9C-101B-9397-08002B2CF9AE}" pid="11" name="Objective-IsPublished">
    <vt:bool>true</vt:bool>
  </op:property>
  <op:property fmtid="{D5CDD505-2E9C-101B-9397-08002B2CF9AE}" pid="12" name="Objective-DatePublished">
    <vt:filetime>2024-11-19T05:10:37Z</vt:filetime>
  </op:property>
  <op:property fmtid="{D5CDD505-2E9C-101B-9397-08002B2CF9AE}" pid="13" name="Objective-ModificationStamp">
    <vt:filetime>2024-11-19T05:10:37Z</vt:filetime>
  </op:property>
  <op:property fmtid="{D5CDD505-2E9C-101B-9397-08002B2CF9AE}" pid="14" name="Objective-Owner">
    <vt:lpwstr>Deanna Isles</vt:lpwstr>
  </op:property>
  <op:property fmtid="{D5CDD505-2E9C-101B-9397-08002B2CF9AE}" pid="15" name="Objective-Path">
    <vt:lpwstr>Objective Global Folder:SACE Support Materials:SACE Support Materials Stage 1:Mathematics:Essential Mathematics (from 2025):Teaching and Learning Programs</vt:lpwstr>
  </op:property>
  <op:property fmtid="{D5CDD505-2E9C-101B-9397-08002B2CF9AE}" pid="16" name="Objective-Parent">
    <vt:lpwstr>Teaching and Learning Programs</vt:lpwstr>
  </op:property>
  <op:property fmtid="{D5CDD505-2E9C-101B-9397-08002B2CF9AE}" pid="17" name="Objective-State">
    <vt:lpwstr>Published</vt:lpwstr>
  </op:property>
  <op:property fmtid="{D5CDD505-2E9C-101B-9397-08002B2CF9AE}" pid="18" name="Objective-VersionId">
    <vt:lpwstr>vA2186376</vt:lpwstr>
  </op:property>
  <op:property fmtid="{D5CDD505-2E9C-101B-9397-08002B2CF9AE}" pid="19" name="Objective-Version">
    <vt:lpwstr>1.0</vt:lpwstr>
  </op:property>
  <op:property fmtid="{D5CDD505-2E9C-101B-9397-08002B2CF9AE}" pid="20" name="Objective-VersionNumber">
    <vt:r8>2</vt:r8>
  </op:property>
  <op:property fmtid="{D5CDD505-2E9C-101B-9397-08002B2CF9AE}" pid="21" name="Objective-VersionComment">
    <vt:lpwstr/>
  </op:property>
  <op:property fmtid="{D5CDD505-2E9C-101B-9397-08002B2CF9AE}" pid="22" name="Objective-FileNumber">
    <vt:lpwstr>qA21326</vt:lpwstr>
  </op:property>
  <op:property fmtid="{D5CDD505-2E9C-101B-9397-08002B2CF9AE}" pid="23" name="Objective-Classification">
    <vt:lpwstr/>
  </op:property>
  <op:property fmtid="{D5CDD505-2E9C-101B-9397-08002B2CF9AE}" pid="24" name="Objective-Caveats">
    <vt:lpwstr/>
  </op:property>
  <op:property fmtid="{D5CDD505-2E9C-101B-9397-08002B2CF9AE}" pid="25" name="Objective-Security Classification">
    <vt:lpwstr>OFFICIAL</vt:lpwstr>
  </op:property>
  <op:property fmtid="{D5CDD505-2E9C-101B-9397-08002B2CF9AE}" pid="26" name="Objective-Connect Creator">
    <vt:lpwstr/>
  </op:property>
</op:Properties>
</file>