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9306CE" w:rsidP="001A0F23">
      <w:pPr>
        <w:pStyle w:val="BodyText1"/>
      </w:pPr>
      <w:r>
        <w:rPr>
          <w:noProof/>
          <w:lang w:eastAsia="en-AU"/>
        </w:rPr>
        <w:drawing>
          <wp:inline distT="0" distB="0" distL="0" distR="0">
            <wp:extent cx="2087999" cy="736425"/>
            <wp:effectExtent l="0" t="0" r="7620" b="6985"/>
            <wp:docPr id="2" name="Picture 2" descr="SACE Logo CoBrand Black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204291" w:rsidRPr="0054520B" w:rsidRDefault="00204291" w:rsidP="0054520B"/>
    <w:p w:rsidR="001A0F23" w:rsidRPr="00C01636" w:rsidRDefault="00CF7A27">
      <w:pPr>
        <w:pStyle w:val="FrontPageHeading"/>
      </w:pPr>
      <w:r>
        <w:t>Food and Hospitality</w:t>
      </w:r>
    </w:p>
    <w:p w:rsidR="001A0F23" w:rsidRPr="00225FC5" w:rsidRDefault="001A0F23" w:rsidP="001A0F23">
      <w:pPr>
        <w:pStyle w:val="FrontPageSub-heading"/>
      </w:pPr>
      <w:r>
        <w:t>201</w:t>
      </w:r>
      <w:r w:rsidR="00E261D1">
        <w:t>5</w:t>
      </w:r>
      <w:r>
        <w:t xml:space="preserve"> Chief Assessor’s Report</w:t>
      </w:r>
    </w:p>
    <w:p w:rsidR="001A0F23" w:rsidRPr="0019071B" w:rsidRDefault="001A0F23" w:rsidP="001A0F23">
      <w:pPr>
        <w:pStyle w:val="BodyText1"/>
        <w:rPr>
          <w:b/>
        </w:rPr>
      </w:pPr>
    </w:p>
    <w:p w:rsidR="001A0F23" w:rsidRPr="0019071B" w:rsidRDefault="001A0F23" w:rsidP="001A0F23">
      <w:pPr>
        <w:pStyle w:val="BodyText1"/>
        <w:rPr>
          <w:b/>
        </w:rPr>
        <w:sectPr w:rsidR="001A0F23" w:rsidRPr="0019071B">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A81CA3" w:rsidRDefault="00272532" w:rsidP="00A81CA3">
      <w:pPr>
        <w:pStyle w:val="Heading1"/>
      </w:pPr>
      <w:r w:rsidRPr="00CB2051">
        <w:lastRenderedPageBreak/>
        <w:t>Food and Hospitality</w:t>
      </w:r>
    </w:p>
    <w:p w:rsidR="00B1461F" w:rsidRPr="00A81CA3" w:rsidRDefault="00B1461F" w:rsidP="00A81CA3">
      <w:pPr>
        <w:pStyle w:val="Heading1"/>
      </w:pPr>
    </w:p>
    <w:p w:rsidR="001A0F23" w:rsidRPr="00A81CA3" w:rsidRDefault="001A0F23" w:rsidP="00A81CA3">
      <w:pPr>
        <w:pStyle w:val="Heading1"/>
      </w:pPr>
      <w:r w:rsidRPr="00A81CA3">
        <w:t>201</w:t>
      </w:r>
      <w:r w:rsidR="00814A7B">
        <w:t>5</w:t>
      </w:r>
      <w:r w:rsidRPr="00A81CA3">
        <w:t xml:space="preserve"> </w:t>
      </w:r>
      <w:r w:rsidR="00B1461F" w:rsidRPr="00A81CA3">
        <w:t>Chief Assessor’s Report</w:t>
      </w:r>
    </w:p>
    <w:p w:rsidR="001A0F23" w:rsidRPr="0054520B" w:rsidRDefault="00532959" w:rsidP="00A81CA3">
      <w:pPr>
        <w:pStyle w:val="Heading2"/>
      </w:pPr>
      <w:r w:rsidRPr="0054520B">
        <w:t>Overview</w:t>
      </w:r>
    </w:p>
    <w:p w:rsidR="001A0F23" w:rsidRPr="00012027" w:rsidRDefault="001A0F23" w:rsidP="001A0F23">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AA4A46" w:rsidRPr="00CF7A27" w:rsidRDefault="00AA4A46" w:rsidP="00CF7A27">
      <w:pPr>
        <w:pStyle w:val="BodyText1"/>
      </w:pPr>
      <w:r w:rsidRPr="00CF7A27">
        <w:t>In 2015, a total of 2124 students representing 181 classes submitted work for the 20</w:t>
      </w:r>
      <w:r w:rsidR="00D061D9">
        <w:noBreakHyphen/>
      </w:r>
      <w:r w:rsidRPr="00CF7A27">
        <w:t>credit subject in Food and Hospitality. A small number completed the 10-credit subject.</w:t>
      </w:r>
    </w:p>
    <w:p w:rsidR="00AA4A46" w:rsidRDefault="00AA4A46" w:rsidP="00AA4A46">
      <w:pPr>
        <w:pStyle w:val="BodyText1"/>
      </w:pPr>
      <w:r w:rsidRPr="00CF7A27">
        <w:t>Overall, moderators were pleased to note that teachers had structured tasks to cater for the wide variety of student needs and learning styles. Student evidence was mostly written, with a few schools presenting oral evidence or multimodal</w:t>
      </w:r>
      <w:r w:rsidR="00D061D9">
        <w:t xml:space="preserve"> evidence</w:t>
      </w:r>
      <w:r w:rsidRPr="00CF7A27">
        <w:t xml:space="preserve">. Feedback to students was generally comprehensive and supportive, guiding them to achieve successful outcomes. </w:t>
      </w:r>
      <w:r w:rsidRPr="00B02608">
        <w:t>Teachers are encour</w:t>
      </w:r>
      <w:r>
        <w:t xml:space="preserve">aged to reduce the number of </w:t>
      </w:r>
      <w:r w:rsidR="00D061D9">
        <w:t xml:space="preserve">specific features of the </w:t>
      </w:r>
      <w:r>
        <w:t>assessment design criteria</w:t>
      </w:r>
      <w:r w:rsidRPr="00B02608">
        <w:t xml:space="preserve"> </w:t>
      </w:r>
      <w:r w:rsidR="00A01540">
        <w:t xml:space="preserve">within tasks and </w:t>
      </w:r>
      <w:r w:rsidRPr="00B02608">
        <w:t xml:space="preserve">on their </w:t>
      </w:r>
      <w:r w:rsidR="00D061D9">
        <w:t>l</w:t>
      </w:r>
      <w:r w:rsidR="00A01540">
        <w:t xml:space="preserve">earning and </w:t>
      </w:r>
      <w:r w:rsidR="00D061D9">
        <w:t>a</w:t>
      </w:r>
      <w:r w:rsidRPr="00B02608">
        <w:t xml:space="preserve">ssessment </w:t>
      </w:r>
      <w:r w:rsidR="00D061D9">
        <w:t>p</w:t>
      </w:r>
      <w:r w:rsidRPr="00B02608">
        <w:t xml:space="preserve">lan </w:t>
      </w:r>
      <w:r w:rsidR="00D061D9">
        <w:t xml:space="preserve">(LAP) </w:t>
      </w:r>
      <w:r w:rsidRPr="00B02608">
        <w:t xml:space="preserve">to provide </w:t>
      </w:r>
      <w:r>
        <w:t xml:space="preserve">better </w:t>
      </w:r>
      <w:r w:rsidRPr="00B02608">
        <w:t xml:space="preserve">opportunities for students to </w:t>
      </w:r>
      <w:r>
        <w:t>address</w:t>
      </w:r>
      <w:r w:rsidRPr="00B02608">
        <w:t xml:space="preserve"> task</w:t>
      </w:r>
      <w:r>
        <w:t>s</w:t>
      </w:r>
      <w:r w:rsidRPr="00B02608">
        <w:t xml:space="preserve"> in </w:t>
      </w:r>
      <w:r>
        <w:t xml:space="preserve">greater </w:t>
      </w:r>
      <w:r w:rsidRPr="00B02608">
        <w:t xml:space="preserve">depth and meet the </w:t>
      </w:r>
      <w:r w:rsidR="00D061D9">
        <w:t>p</w:t>
      </w:r>
      <w:r w:rsidRPr="00B02608">
        <w:t>erformance standards at a higher level.</w:t>
      </w:r>
    </w:p>
    <w:p w:rsidR="00AA4A46" w:rsidRPr="00CF7A27" w:rsidRDefault="00AA4A46" w:rsidP="00CF7A27">
      <w:pPr>
        <w:pStyle w:val="BodyText1"/>
      </w:pPr>
      <w:r w:rsidRPr="00CF7A27">
        <w:t xml:space="preserve">All teachers will need to </w:t>
      </w:r>
      <w:r w:rsidR="00D061D9">
        <w:t>take into account</w:t>
      </w:r>
      <w:r w:rsidRPr="00CF7A27">
        <w:t xml:space="preserve"> the minor changes for the Food and Hospitality </w:t>
      </w:r>
      <w:r w:rsidR="00D061D9">
        <w:t>s</w:t>
      </w:r>
      <w:r w:rsidRPr="00CF7A27">
        <w:t xml:space="preserve">ubject </w:t>
      </w:r>
      <w:r w:rsidR="00D061D9">
        <w:t>o</w:t>
      </w:r>
      <w:r w:rsidRPr="00CF7A27">
        <w:t xml:space="preserve">utline for 2016, available on the SACE website. These changes have been made to strengthen and support the </w:t>
      </w:r>
      <w:r w:rsidR="00D061D9">
        <w:t>l</w:t>
      </w:r>
      <w:r w:rsidRPr="00CF7A27">
        <w:t xml:space="preserve">earning </w:t>
      </w:r>
      <w:r w:rsidR="00D061D9">
        <w:t>r</w:t>
      </w:r>
      <w:r w:rsidRPr="00CF7A27">
        <w:t xml:space="preserve">equirements and the </w:t>
      </w:r>
      <w:r w:rsidR="00D061D9">
        <w:t>a</w:t>
      </w:r>
      <w:r w:rsidRPr="00CF7A27">
        <w:t xml:space="preserve">reas of </w:t>
      </w:r>
      <w:r w:rsidR="00D061D9">
        <w:t>s</w:t>
      </w:r>
      <w:r w:rsidRPr="00CF7A27">
        <w:t xml:space="preserve">tudy. In the </w:t>
      </w:r>
      <w:r w:rsidR="00D061D9">
        <w:t>section on s</w:t>
      </w:r>
      <w:r w:rsidRPr="00CF7A27">
        <w:t xml:space="preserve">chool </w:t>
      </w:r>
      <w:r w:rsidR="00D061D9">
        <w:t>a</w:t>
      </w:r>
      <w:r w:rsidRPr="00CF7A27">
        <w:t>ssessment, minor changes have been made to strengthen understanding in Assessment Type 1, Assessment Type 2</w:t>
      </w:r>
      <w:r w:rsidR="00D061D9">
        <w:t>,</w:t>
      </w:r>
      <w:r w:rsidRPr="00CF7A27">
        <w:t xml:space="preserve"> and Assessment Type 3. Teachers will need to adjust the wording in their task sheets to incorporate the changes.</w:t>
      </w:r>
      <w:r w:rsidR="00D061D9">
        <w:t xml:space="preserve"> The rest of this report is based on the 2015 subject outline.</w:t>
      </w:r>
    </w:p>
    <w:p w:rsidR="00AA4A46" w:rsidRPr="00272532" w:rsidRDefault="00AA4A46" w:rsidP="00272532">
      <w:pPr>
        <w:pStyle w:val="Heading2"/>
      </w:pPr>
      <w:r w:rsidRPr="00272532">
        <w:t>School Assessment</w:t>
      </w:r>
    </w:p>
    <w:p w:rsidR="00AA4A46" w:rsidRPr="00CB2051" w:rsidRDefault="00AA4A46" w:rsidP="00272532">
      <w:pPr>
        <w:pStyle w:val="AssessmentTypeHeading"/>
      </w:pPr>
      <w:r w:rsidRPr="00CB2051">
        <w:t>Assessment Type 1: Practical Activity</w:t>
      </w:r>
    </w:p>
    <w:p w:rsidR="00B23380" w:rsidRDefault="00AA4A46" w:rsidP="009E784A">
      <w:pPr>
        <w:pStyle w:val="Topicheading2"/>
      </w:pPr>
      <w:r w:rsidRPr="00CB2051">
        <w:t>Research Task (Investigation and Critical Analysis)</w:t>
      </w:r>
    </w:p>
    <w:p w:rsidR="00AA4A46" w:rsidRPr="00B02608" w:rsidRDefault="00A01540" w:rsidP="00AA4A46">
      <w:pPr>
        <w:pStyle w:val="BodyText1"/>
      </w:pPr>
      <w:r>
        <w:t>It was pleasing to see a</w:t>
      </w:r>
      <w:r w:rsidR="00AA4A46" w:rsidRPr="00CB2051">
        <w:t>n interesting r</w:t>
      </w:r>
      <w:r w:rsidR="00AA4A46">
        <w:t xml:space="preserve">ange of contemporary trends presented in task design this year. </w:t>
      </w:r>
      <w:r w:rsidR="00AA4A46" w:rsidRPr="00CB2051">
        <w:t>The research component is an important aspect of the practical activity</w:t>
      </w:r>
      <w:r w:rsidR="00DF53F4">
        <w:t>,</w:t>
      </w:r>
      <w:r w:rsidR="00AA4A46" w:rsidRPr="00CB2051">
        <w:t xml:space="preserve"> as it provides students with an opportunity to </w:t>
      </w:r>
      <w:r>
        <w:t xml:space="preserve">investigate a contemporary trend or issue </w:t>
      </w:r>
      <w:r w:rsidRPr="00CB2051">
        <w:t xml:space="preserve">using both </w:t>
      </w:r>
      <w:r>
        <w:t xml:space="preserve">primary and secondary resources, and </w:t>
      </w:r>
      <w:r w:rsidR="00AA4A46" w:rsidRPr="00CB2051">
        <w:t>practi</w:t>
      </w:r>
      <w:r w:rsidR="00AA4A46">
        <w:t>s</w:t>
      </w:r>
      <w:r w:rsidR="00AA4A46" w:rsidRPr="00CB2051">
        <w:t xml:space="preserve">e a formal style of </w:t>
      </w:r>
      <w:r w:rsidRPr="00CB2051">
        <w:t>writing</w:t>
      </w:r>
      <w:r>
        <w:t xml:space="preserve">. </w:t>
      </w:r>
      <w:r w:rsidR="00DF53F4">
        <w:t>(</w:t>
      </w:r>
      <w:r>
        <w:t>Teachers</w:t>
      </w:r>
      <w:r w:rsidR="00AA4A46" w:rsidRPr="00CB2051">
        <w:t xml:space="preserve"> should review</w:t>
      </w:r>
      <w:r w:rsidR="00AA4A46">
        <w:t xml:space="preserve"> their task design, in line with the changes for 2016, to ensure </w:t>
      </w:r>
      <w:r w:rsidR="00DF53F4">
        <w:t xml:space="preserve">that </w:t>
      </w:r>
      <w:r w:rsidR="00AA4A46">
        <w:t>they meet</w:t>
      </w:r>
      <w:r w:rsidR="00AA4A46" w:rsidRPr="00CB2051">
        <w:t xml:space="preserve"> the requirements o</w:t>
      </w:r>
      <w:r w:rsidR="00AA4A46">
        <w:t xml:space="preserve">f the </w:t>
      </w:r>
      <w:r>
        <w:t>2016</w:t>
      </w:r>
      <w:r w:rsidR="00DF53F4">
        <w:t xml:space="preserve"> </w:t>
      </w:r>
      <w:r w:rsidR="00C01458">
        <w:t>s</w:t>
      </w:r>
      <w:r w:rsidR="00AA4A46">
        <w:t xml:space="preserve">ubject </w:t>
      </w:r>
      <w:r w:rsidR="00C01458">
        <w:t>o</w:t>
      </w:r>
      <w:r w:rsidR="00AA4A46">
        <w:t>utline, using</w:t>
      </w:r>
      <w:r w:rsidR="00AA4A46" w:rsidRPr="00CB2051">
        <w:t xml:space="preserve"> selected </w:t>
      </w:r>
      <w:r w:rsidR="00AA4A46">
        <w:t xml:space="preserve">specific features </w:t>
      </w:r>
      <w:r w:rsidR="00AA4A46" w:rsidRPr="00CB2051">
        <w:t xml:space="preserve">from </w:t>
      </w:r>
      <w:r w:rsidR="00DF53F4">
        <w:t>the i</w:t>
      </w:r>
      <w:r w:rsidR="00AA4A46" w:rsidRPr="00CB2051">
        <w:t xml:space="preserve">nvestigation and </w:t>
      </w:r>
      <w:r w:rsidR="00DF53F4">
        <w:t>c</w:t>
      </w:r>
      <w:r w:rsidR="00AA4A46" w:rsidRPr="00B02608">
        <w:t xml:space="preserve">ritical </w:t>
      </w:r>
      <w:r w:rsidR="00DF53F4">
        <w:t>a</w:t>
      </w:r>
      <w:r w:rsidR="00AA4A46" w:rsidRPr="00B02608">
        <w:t>nalysis</w:t>
      </w:r>
      <w:r w:rsidR="00DF53F4">
        <w:t xml:space="preserve"> assessment design criterion</w:t>
      </w:r>
      <w:r w:rsidR="00AA4A46" w:rsidRPr="00B02608">
        <w:t>.</w:t>
      </w:r>
      <w:r w:rsidR="00DF53F4">
        <w:t>)</w:t>
      </w:r>
    </w:p>
    <w:p w:rsidR="00AA4A46" w:rsidRPr="00B02608" w:rsidRDefault="00AA4A46" w:rsidP="00AA4A46">
      <w:pPr>
        <w:pStyle w:val="BodyText1"/>
      </w:pPr>
      <w:r w:rsidRPr="00B02608">
        <w:t>The research task should be structured to allow for critical analysis of contempora</w:t>
      </w:r>
      <w:r>
        <w:t>ry trends</w:t>
      </w:r>
      <w:r w:rsidR="00A01540">
        <w:t xml:space="preserve">. This is best achieved via </w:t>
      </w:r>
      <w:r w:rsidRPr="00B02608">
        <w:t xml:space="preserve">a question or statement </w:t>
      </w:r>
      <w:r w:rsidR="00A01540">
        <w:t>which</w:t>
      </w:r>
      <w:r w:rsidR="00A01540" w:rsidRPr="00B02608">
        <w:t xml:space="preserve"> </w:t>
      </w:r>
      <w:r w:rsidRPr="00B02608">
        <w:t xml:space="preserve">allows students to </w:t>
      </w:r>
      <w:r w:rsidRPr="00B02608">
        <w:lastRenderedPageBreak/>
        <w:t xml:space="preserve">analyse an issue in depth. Some tasks </w:t>
      </w:r>
      <w:r w:rsidR="00A01540">
        <w:t>limited opportunities for success due to being</w:t>
      </w:r>
      <w:r w:rsidRPr="00B02608">
        <w:t xml:space="preserve"> </w:t>
      </w:r>
      <w:r>
        <w:t xml:space="preserve">too general, or </w:t>
      </w:r>
      <w:r w:rsidR="00B27D8F">
        <w:t>having,</w:t>
      </w:r>
      <w:r>
        <w:t xml:space="preserve"> in some cases</w:t>
      </w:r>
      <w:r w:rsidR="00B27D8F">
        <w:t>,</w:t>
      </w:r>
      <w:r>
        <w:t xml:space="preserve"> </w:t>
      </w:r>
      <w:r w:rsidRPr="00B02608">
        <w:t>too many questions</w:t>
      </w:r>
      <w:r>
        <w:t>. On occasions</w:t>
      </w:r>
      <w:r w:rsidRPr="00B02608">
        <w:t xml:space="preserve"> </w:t>
      </w:r>
      <w:r>
        <w:t xml:space="preserve">students were asked </w:t>
      </w:r>
      <w:r w:rsidRPr="00B02608">
        <w:t xml:space="preserve">to develop an opinion (which is outside the current subject </w:t>
      </w:r>
      <w:r>
        <w:t xml:space="preserve">outline </w:t>
      </w:r>
      <w:r w:rsidRPr="00B02608">
        <w:t>guide</w:t>
      </w:r>
      <w:r>
        <w:t>lines). Some tasks limited</w:t>
      </w:r>
      <w:r w:rsidRPr="00B02608">
        <w:t xml:space="preserve"> students </w:t>
      </w:r>
      <w:r w:rsidR="00DF53F4">
        <w:t>if</w:t>
      </w:r>
      <w:r w:rsidRPr="00B02608">
        <w:t xml:space="preserve"> they were locat</w:t>
      </w:r>
      <w:r w:rsidR="00DF53F4">
        <w:t>ed</w:t>
      </w:r>
      <w:r w:rsidRPr="00CF7A27">
        <w:t xml:space="preserve"> </w:t>
      </w:r>
      <w:r w:rsidRPr="00B02608">
        <w:t xml:space="preserve">where </w:t>
      </w:r>
      <w:r w:rsidR="00B27D8F">
        <w:t>opportunities to investigate</w:t>
      </w:r>
      <w:r w:rsidRPr="00B02608">
        <w:t xml:space="preserve"> issues such as multiculturalism or fine dining </w:t>
      </w:r>
      <w:r w:rsidR="00DF53F4">
        <w:t>were</w:t>
      </w:r>
      <w:r w:rsidRPr="00B02608">
        <w:t xml:space="preserve"> not accessible in the local community. There was evidence of excellent investigation and critical analysis tasks s</w:t>
      </w:r>
      <w:r>
        <w:t>uited to local communities. These</w:t>
      </w:r>
      <w:r w:rsidRPr="00B02608">
        <w:t xml:space="preserve"> provided opportunities for students to research</w:t>
      </w:r>
      <w:r>
        <w:t xml:space="preserve"> in depth and demonstrate</w:t>
      </w:r>
      <w:r w:rsidRPr="00B02608">
        <w:t xml:space="preserve"> a </w:t>
      </w:r>
      <w:r w:rsidR="00B27D8F">
        <w:t>critical analysis of the issue</w:t>
      </w:r>
      <w:r w:rsidR="00DF53F4">
        <w:t xml:space="preserve"> or </w:t>
      </w:r>
      <w:r w:rsidR="00B27D8F">
        <w:t>trend</w:t>
      </w:r>
      <w:r w:rsidRPr="00B02608">
        <w:t>.</w:t>
      </w:r>
    </w:p>
    <w:p w:rsidR="00AA4A46" w:rsidRPr="00B02608" w:rsidRDefault="002F7A6A" w:rsidP="00AA4A46">
      <w:pPr>
        <w:pStyle w:val="BodyText1"/>
      </w:pPr>
      <w:r>
        <w:t>Successful</w:t>
      </w:r>
      <w:r w:rsidR="00AA4A46" w:rsidRPr="00CF7A27">
        <w:t xml:space="preserve"> tasks</w:t>
      </w:r>
      <w:r>
        <w:t xml:space="preserve"> for students</w:t>
      </w:r>
      <w:r w:rsidR="00AA4A46" w:rsidRPr="00CF7A27">
        <w:t xml:space="preserve"> reflected a clear, contemporary issue linked to the food and hospitality industry, providing students with opportunities to display higher</w:t>
      </w:r>
      <w:r w:rsidR="00DF53F4">
        <w:t>-</w:t>
      </w:r>
      <w:r w:rsidR="00AA4A46" w:rsidRPr="00CF7A27">
        <w:t>order thinking skills</w:t>
      </w:r>
      <w:r w:rsidR="00DF53F4">
        <w:t>,</w:t>
      </w:r>
      <w:r w:rsidR="00AA4A46" w:rsidRPr="00CF7A27">
        <w:t xml:space="preserve"> as well as unlimited possibilities to investigate their issue in</w:t>
      </w:r>
      <w:r w:rsidR="00DF53F4">
        <w:t xml:space="preserve"> </w:t>
      </w:r>
      <w:r w:rsidR="00AA4A46" w:rsidRPr="00CF7A27">
        <w:t xml:space="preserve">depth. At the higher end, tasks demonstrated perception and strong analysis. </w:t>
      </w:r>
      <w:r w:rsidR="00AA4A46" w:rsidRPr="00B02608">
        <w:t>It was pleasing to note that teachers in country and remote areas ofte</w:t>
      </w:r>
      <w:r w:rsidR="00AA4A46">
        <w:t xml:space="preserve">n used local resources to advantage </w:t>
      </w:r>
      <w:r w:rsidR="00AA4A46" w:rsidRPr="00B02608">
        <w:t>and focused the</w:t>
      </w:r>
      <w:r w:rsidR="00AA4A46">
        <w:t>ir task on local seasonal foods, while schools located in populated areas responded to local hospitality trends.</w:t>
      </w:r>
    </w:p>
    <w:p w:rsidR="00AA4A46" w:rsidRPr="00CF7A27" w:rsidRDefault="00AA4A46" w:rsidP="00CF7A27">
      <w:pPr>
        <w:pStyle w:val="BodyText1"/>
      </w:pPr>
      <w:r w:rsidRPr="00CF7A27">
        <w:t xml:space="preserve">Student responses were generally of a high standard when they were provided with a clear focus question. Where research tasks clearly identified an area of study and were scaffolded with a well-defined focus on a contemporary issue related to the food and hospitality industry, students had an opportunity to investigate in depth and show critical analysis. However, some students experienced difficulty responding to the task within </w:t>
      </w:r>
      <w:r w:rsidR="00EF3B88">
        <w:t xml:space="preserve">the </w:t>
      </w:r>
      <w:r w:rsidRPr="00CF7A27">
        <w:t>500</w:t>
      </w:r>
      <w:r w:rsidR="00DF53F4">
        <w:t>-</w:t>
      </w:r>
      <w:r w:rsidRPr="00CF7A27">
        <w:t>word</w:t>
      </w:r>
      <w:r w:rsidR="00EF3B88">
        <w:t xml:space="preserve"> limit</w:t>
      </w:r>
      <w:r w:rsidRPr="00CF7A27">
        <w:t>.</w:t>
      </w:r>
    </w:p>
    <w:p w:rsidR="00AA4A46" w:rsidRDefault="00AA4A46" w:rsidP="00AA4A46">
      <w:pPr>
        <w:pStyle w:val="BodyText1"/>
      </w:pPr>
      <w:r>
        <w:t>Relevant p</w:t>
      </w:r>
      <w:r w:rsidRPr="00382EDF">
        <w:t>rimary</w:t>
      </w:r>
      <w:r w:rsidRPr="00CB2051">
        <w:t xml:space="preserve"> and secondary research that was well considered in its presentation (</w:t>
      </w:r>
      <w:r>
        <w:t xml:space="preserve">with </w:t>
      </w:r>
      <w:r w:rsidRPr="00CB2051">
        <w:t>quotes, graphs, tables</w:t>
      </w:r>
      <w:r>
        <w:t xml:space="preserve">, etc.) </w:t>
      </w:r>
      <w:r w:rsidRPr="00CB2051">
        <w:t xml:space="preserve">supported assessment decisions at the </w:t>
      </w:r>
      <w:r w:rsidRPr="00915A8E">
        <w:t>higher levels of the performance standards for</w:t>
      </w:r>
      <w:r w:rsidRPr="00CB2051">
        <w:t xml:space="preserve"> </w:t>
      </w:r>
      <w:r>
        <w:t>i</w:t>
      </w:r>
      <w:r w:rsidRPr="00CB2051">
        <w:t xml:space="preserve">nvestigation and </w:t>
      </w:r>
      <w:r>
        <w:t>c</w:t>
      </w:r>
      <w:r w:rsidRPr="00CB2051">
        <w:t xml:space="preserve">ritical </w:t>
      </w:r>
      <w:r>
        <w:t>a</w:t>
      </w:r>
      <w:r w:rsidRPr="00CB2051">
        <w:t>nalysis.</w:t>
      </w:r>
    </w:p>
    <w:p w:rsidR="00AA4A46" w:rsidRPr="00B02608" w:rsidRDefault="00AA4A46" w:rsidP="00AA4A46">
      <w:pPr>
        <w:pStyle w:val="BodyText1"/>
      </w:pPr>
      <w:r w:rsidRPr="00CB2051">
        <w:t xml:space="preserve">The </w:t>
      </w:r>
      <w:r w:rsidR="00925A8E">
        <w:t>I</w:t>
      </w:r>
      <w:r w:rsidR="00925A8E" w:rsidRPr="00CB2051">
        <w:t xml:space="preserve">nternet </w:t>
      </w:r>
      <w:r w:rsidRPr="00CB2051">
        <w:t>was heavily relied on for sources of information, often with little relevance to the local setting</w:t>
      </w:r>
      <w:r w:rsidRPr="0037780B">
        <w:t>. Students should be encouraged to make their voice clear in the</w:t>
      </w:r>
      <w:r>
        <w:t xml:space="preserve">ir research and use </w:t>
      </w:r>
      <w:r w:rsidRPr="0037780B">
        <w:t xml:space="preserve">selected quotes, data, and </w:t>
      </w:r>
      <w:r>
        <w:t xml:space="preserve">statistics to ably satisfy specific feature </w:t>
      </w:r>
      <w:proofErr w:type="spellStart"/>
      <w:r>
        <w:t>ICA3</w:t>
      </w:r>
      <w:proofErr w:type="spellEnd"/>
      <w:r>
        <w:t xml:space="preserve"> of the assessment design criteria. Students </w:t>
      </w:r>
      <w:r w:rsidR="00EF3B88">
        <w:t>are</w:t>
      </w:r>
      <w:r>
        <w:t xml:space="preserve"> encouraged to use a balance of suitable primary and secondary sources of </w:t>
      </w:r>
      <w:r w:rsidRPr="00B02608">
        <w:t>information.</w:t>
      </w:r>
    </w:p>
    <w:p w:rsidR="00AA4A46" w:rsidRPr="00B02608" w:rsidRDefault="00AA4A46" w:rsidP="00AA4A46">
      <w:pPr>
        <w:pStyle w:val="BodyText1"/>
      </w:pPr>
      <w:r>
        <w:t>Overall</w:t>
      </w:r>
      <w:r w:rsidR="00925A8E">
        <w:t>,</w:t>
      </w:r>
      <w:r>
        <w:t xml:space="preserve"> i</w:t>
      </w:r>
      <w:r w:rsidRPr="00B02608">
        <w:t>mprovement was noted in referencing for both primary and secondary sources</w:t>
      </w:r>
      <w:r w:rsidR="00EF3B88">
        <w:t>.</w:t>
      </w:r>
      <w:r w:rsidRPr="00B02608">
        <w:t xml:space="preserve"> </w:t>
      </w:r>
      <w:r w:rsidR="00EF3B88">
        <w:t>T</w:t>
      </w:r>
      <w:r w:rsidRPr="00B02608">
        <w:t xml:space="preserve">eachers should </w:t>
      </w:r>
      <w:r>
        <w:t xml:space="preserve">continue to </w:t>
      </w:r>
      <w:r w:rsidRPr="00B02608">
        <w:t>support students to use appropriate referencing systems and refer to current referencing guidelines on the SACE website.</w:t>
      </w:r>
    </w:p>
    <w:p w:rsidR="00B23380" w:rsidRDefault="00AA4A46" w:rsidP="009E784A">
      <w:pPr>
        <w:pStyle w:val="Topicheading2"/>
      </w:pPr>
      <w:r w:rsidRPr="00B02608">
        <w:t>Action Plan (Problem-solving)</w:t>
      </w:r>
    </w:p>
    <w:p w:rsidR="00AA4A46" w:rsidRPr="00B02608" w:rsidRDefault="00EF3B88" w:rsidP="00AA4A46">
      <w:pPr>
        <w:pStyle w:val="BodyText1"/>
      </w:pPr>
      <w:r>
        <w:t xml:space="preserve">It was pleasing to see </w:t>
      </w:r>
      <w:r w:rsidR="00925A8E">
        <w:t>a</w:t>
      </w:r>
      <w:r>
        <w:t xml:space="preserve">ction </w:t>
      </w:r>
      <w:r w:rsidR="00925A8E">
        <w:t>p</w:t>
      </w:r>
      <w:r>
        <w:t xml:space="preserve">lans </w:t>
      </w:r>
      <w:r w:rsidR="00AA4A46">
        <w:t xml:space="preserve">of a high standard. </w:t>
      </w:r>
      <w:r w:rsidR="00AA4A46" w:rsidRPr="00B02608">
        <w:t xml:space="preserve">Teachers who based their assessment tasks on </w:t>
      </w:r>
      <w:r w:rsidR="00AA4A46">
        <w:t>issues related to the selected a</w:t>
      </w:r>
      <w:r w:rsidR="00AA4A46" w:rsidRPr="00B02608">
        <w:t>rea of study enabled students to meet the higher levels of achievement in th</w:t>
      </w:r>
      <w:r w:rsidR="00AA4A46">
        <w:t>e area of problem-solving. Well-</w:t>
      </w:r>
      <w:r w:rsidR="00AA4A46" w:rsidRPr="00B02608">
        <w:t xml:space="preserve">constructed </w:t>
      </w:r>
      <w:r w:rsidR="00925A8E">
        <w:t>a</w:t>
      </w:r>
      <w:r w:rsidR="00AA4A46" w:rsidRPr="00B02608">
        <w:t xml:space="preserve">ction </w:t>
      </w:r>
      <w:r w:rsidR="00925A8E">
        <w:t>p</w:t>
      </w:r>
      <w:r w:rsidR="00AA4A46" w:rsidRPr="00B02608">
        <w:t>lans clearly reflected the link between the area of study and the problem identified. Where this did not occur, students often struggled</w:t>
      </w:r>
      <w:r w:rsidR="00AA4A46">
        <w:t xml:space="preserve"> to identify issues appropriate to the task, and follow with an informed decision leading to a suitable practical activity.</w:t>
      </w:r>
    </w:p>
    <w:p w:rsidR="00AA4A46" w:rsidRPr="00B02608" w:rsidRDefault="00EF3B88" w:rsidP="00AA4A46">
      <w:pPr>
        <w:pStyle w:val="BodyText1"/>
      </w:pPr>
      <w:r>
        <w:t>It is important that t</w:t>
      </w:r>
      <w:r w:rsidR="00AA4A46" w:rsidRPr="00B02608">
        <w:t xml:space="preserve">eachers address </w:t>
      </w:r>
      <w:r w:rsidR="00AA4A46">
        <w:t xml:space="preserve">the </w:t>
      </w:r>
      <w:r w:rsidR="00AA4A46" w:rsidRPr="00B02608">
        <w:t>problem-solving</w:t>
      </w:r>
      <w:r w:rsidR="00AA4A46">
        <w:t xml:space="preserve"> assessment design criterion for</w:t>
      </w:r>
      <w:r w:rsidR="00AA4A46" w:rsidRPr="00B02608">
        <w:t xml:space="preserve"> the </w:t>
      </w:r>
      <w:r w:rsidR="00925A8E">
        <w:t>a</w:t>
      </w:r>
      <w:r w:rsidR="00AA4A46" w:rsidRPr="00B02608">
        <w:t xml:space="preserve">ction </w:t>
      </w:r>
      <w:r w:rsidR="00925A8E">
        <w:t>p</w:t>
      </w:r>
      <w:r w:rsidR="00AA4A46" w:rsidRPr="00B02608">
        <w:t xml:space="preserve">lan, rather than trying to combine </w:t>
      </w:r>
      <w:r w:rsidR="00AA4A46">
        <w:t>it</w:t>
      </w:r>
      <w:r w:rsidR="00AA4A46" w:rsidRPr="00B02608">
        <w:t xml:space="preserve"> with specific features from the </w:t>
      </w:r>
      <w:r w:rsidR="00925A8E">
        <w:t>i</w:t>
      </w:r>
      <w:r w:rsidR="00AA4A46" w:rsidRPr="00B02608">
        <w:t xml:space="preserve">nvestigation and </w:t>
      </w:r>
      <w:r w:rsidR="00925A8E">
        <w:t>c</w:t>
      </w:r>
      <w:r w:rsidR="00AA4A46" w:rsidRPr="00B02608">
        <w:t xml:space="preserve">ritical </w:t>
      </w:r>
      <w:r w:rsidR="00925A8E">
        <w:t>a</w:t>
      </w:r>
      <w:r w:rsidR="00AA4A46" w:rsidRPr="00B02608">
        <w:t>nalysis</w:t>
      </w:r>
      <w:r w:rsidR="00AA4A46">
        <w:t xml:space="preserve"> assessment design criterion</w:t>
      </w:r>
      <w:r w:rsidR="00AA4A46" w:rsidRPr="00B02608">
        <w:t>.</w:t>
      </w:r>
      <w:r w:rsidR="00DF53F4">
        <w:t xml:space="preserve"> </w:t>
      </w:r>
      <w:r w:rsidR="00AA4A46">
        <w:t xml:space="preserve">Limiting the number </w:t>
      </w:r>
      <w:r>
        <w:t xml:space="preserve">of </w:t>
      </w:r>
      <w:r w:rsidR="00925A8E">
        <w:t>specific features</w:t>
      </w:r>
      <w:r>
        <w:t xml:space="preserve"> for assessment </w:t>
      </w:r>
      <w:r w:rsidR="00AA4A46">
        <w:t>will often provide students with opportunities to achieve higher outcomes against the performance standards.</w:t>
      </w:r>
      <w:bookmarkStart w:id="0" w:name="_GoBack"/>
      <w:bookmarkEnd w:id="0"/>
    </w:p>
    <w:p w:rsidR="00AA4A46" w:rsidRPr="00CB2051" w:rsidRDefault="00AA4A46" w:rsidP="00AA4A46">
      <w:pPr>
        <w:pStyle w:val="BodyText1"/>
      </w:pPr>
      <w:r>
        <w:lastRenderedPageBreak/>
        <w:t>When</w:t>
      </w:r>
      <w:r w:rsidRPr="00B02608">
        <w:t xml:space="preserve"> teachers structured tasks to address the </w:t>
      </w:r>
      <w:r>
        <w:t>area of study and were astute in their selection of specific features of the assessment design criteri</w:t>
      </w:r>
      <w:r w:rsidR="00C01458">
        <w:t>on</w:t>
      </w:r>
      <w:r>
        <w:t xml:space="preserve"> for problem-solving, they provided students with a clear structure and an opportunity to achieve higher outcomes against the performance standards. It is essential that teachers design tasks focused on contemporary food and hospitality trends, and make a clear link between the focus in the action plan and the practical application.</w:t>
      </w:r>
    </w:p>
    <w:p w:rsidR="00AA4A46" w:rsidRPr="00CB2051" w:rsidRDefault="00AA4A46" w:rsidP="00AA4A46">
      <w:pPr>
        <w:pStyle w:val="BodyText1"/>
      </w:pPr>
      <w:r>
        <w:t>Most students could identify factors effectively when the task was well constructed, although many generic factors were still evident which did not address the context of Food and Hospitality or the area of study. Higher-achieving students were discerning in their choice of factors, and were able to link them strongly to the area of study, enabling them to have a clear understanding of the context. When this occurred, students were able to make clear, relevant decisions, often linked to regional foods and their local community.</w:t>
      </w:r>
    </w:p>
    <w:p w:rsidR="00AA4A46" w:rsidRPr="00B02608" w:rsidRDefault="00AA4A46" w:rsidP="00AA4A46">
      <w:pPr>
        <w:pStyle w:val="BodyText1"/>
      </w:pPr>
      <w:r w:rsidRPr="00B02608">
        <w:t xml:space="preserve">Many students </w:t>
      </w:r>
      <w:r>
        <w:t xml:space="preserve">ably </w:t>
      </w:r>
      <w:r w:rsidRPr="00B02608">
        <w:t>identified implementation strategies</w:t>
      </w:r>
      <w:r>
        <w:t>. Evidence was often presented</w:t>
      </w:r>
      <w:r w:rsidRPr="00B02608">
        <w:t xml:space="preserve"> in dot points, allowing </w:t>
      </w:r>
      <w:r>
        <w:t xml:space="preserve">students </w:t>
      </w:r>
      <w:r w:rsidRPr="00B02608">
        <w:t>to address the requirements for their practical and</w:t>
      </w:r>
      <w:r>
        <w:t xml:space="preserve"> justification in greater depth </w:t>
      </w:r>
      <w:r w:rsidR="004732E3">
        <w:t>—</w:t>
      </w:r>
      <w:r w:rsidRPr="00B02608">
        <w:t xml:space="preserve"> resulting in achievement at a higher level. Teachers should assist students to ensure that the implementation strategies r</w:t>
      </w:r>
      <w:r>
        <w:t>elate clearly to the practical</w:t>
      </w:r>
      <w:r w:rsidRPr="00B02608">
        <w:t xml:space="preserve"> and </w:t>
      </w:r>
      <w:r w:rsidR="004732E3">
        <w:t xml:space="preserve">the </w:t>
      </w:r>
      <w:r w:rsidRPr="00B02608">
        <w:t>decisions made.</w:t>
      </w:r>
    </w:p>
    <w:p w:rsidR="00B23380" w:rsidRDefault="00AA4A46" w:rsidP="009E784A">
      <w:pPr>
        <w:pStyle w:val="Topicheading2"/>
      </w:pPr>
      <w:r w:rsidRPr="00DC6952">
        <w:t>Practical Application</w:t>
      </w:r>
    </w:p>
    <w:p w:rsidR="00AA4A46" w:rsidRPr="00CF7A27" w:rsidRDefault="00AA4A46" w:rsidP="00AA4A46">
      <w:pPr>
        <w:pStyle w:val="BodyText1"/>
      </w:pPr>
      <w:r w:rsidRPr="00CF7A27">
        <w:t>All components of the task need to be clear and transparent</w:t>
      </w:r>
      <w:r w:rsidR="004732E3">
        <w:t>,</w:t>
      </w:r>
      <w:r w:rsidRPr="00CF7A27">
        <w:t xml:space="preserve"> in order that students understand requirements and can make the best use of their time to achieve success. The practical activity should make clear links with the research</w:t>
      </w:r>
      <w:r w:rsidR="00EF3B88">
        <w:t xml:space="preserve"> (in the research task)</w:t>
      </w:r>
      <w:r w:rsidRPr="00CF7A27">
        <w:t xml:space="preserve"> or decisions contained in the action plan.</w:t>
      </w:r>
    </w:p>
    <w:p w:rsidR="00AA4A46" w:rsidRPr="00CF7A27" w:rsidRDefault="00AE3ACF" w:rsidP="00AA4A46">
      <w:pPr>
        <w:pStyle w:val="BodyText1"/>
      </w:pPr>
      <w:r>
        <w:t>M</w:t>
      </w:r>
      <w:r w:rsidR="00AA4A46" w:rsidRPr="00CF7A27">
        <w:t xml:space="preserve">oderators were </w:t>
      </w:r>
      <w:r>
        <w:t xml:space="preserve">impressed </w:t>
      </w:r>
      <w:r w:rsidR="00AA4A46" w:rsidRPr="00CF7A27">
        <w:t>with the improved standard in the practical tasks presented this year</w:t>
      </w:r>
      <w:r w:rsidR="004732E3">
        <w:t>;</w:t>
      </w:r>
      <w:r w:rsidR="00AA4A46" w:rsidRPr="00CF7A27">
        <w:t xml:space="preserve"> </w:t>
      </w:r>
      <w:r>
        <w:t>however</w:t>
      </w:r>
      <w:r w:rsidR="004732E3">
        <w:t>,</w:t>
      </w:r>
      <w:r>
        <w:t xml:space="preserve"> </w:t>
      </w:r>
      <w:r w:rsidR="00AA4A46" w:rsidRPr="00CF7A27">
        <w:t xml:space="preserve">some practical </w:t>
      </w:r>
      <w:r w:rsidRPr="00CF7A27">
        <w:t>activit</w:t>
      </w:r>
      <w:r>
        <w:t>ies</w:t>
      </w:r>
      <w:r w:rsidR="00AA4A46" w:rsidRPr="00CF7A27">
        <w:t xml:space="preserve"> lacked the depth and rigour expected for Stage 2.</w:t>
      </w:r>
    </w:p>
    <w:p w:rsidR="00AA4A46" w:rsidRPr="00CF7A27" w:rsidRDefault="00AA4A46" w:rsidP="00AA4A46">
      <w:pPr>
        <w:pStyle w:val="BodyText1"/>
      </w:pPr>
      <w:r w:rsidRPr="00CF7A27">
        <w:t xml:space="preserve">Where teachers had included ‘evidence of practical’ in the task design, students were supported to provide evidence of their practical work. </w:t>
      </w:r>
      <w:r w:rsidR="00AE3ACF">
        <w:t xml:space="preserve">It was pleasing to see </w:t>
      </w:r>
      <w:r w:rsidR="00AE3ACF" w:rsidRPr="00CF7A27">
        <w:t>students</w:t>
      </w:r>
      <w:r w:rsidRPr="00CF7A27">
        <w:t xml:space="preserve"> </w:t>
      </w:r>
      <w:r w:rsidR="00AE3ACF" w:rsidRPr="00CF7A27">
        <w:t>submit</w:t>
      </w:r>
      <w:r w:rsidR="00AE3ACF">
        <w:t xml:space="preserve">ting </w:t>
      </w:r>
      <w:r w:rsidRPr="00CF7A27">
        <w:t>comprehensive practical evidence (annotated visual evidence, and written evidence against the assessment design criteria). When this was available, grades awarded for the practical application were able to be confirmed. It is essential that evidence is addressed within the task design.</w:t>
      </w:r>
    </w:p>
    <w:p w:rsidR="00AA4A46" w:rsidRPr="00CF7A27" w:rsidRDefault="00AA4A46" w:rsidP="00AA4A46">
      <w:pPr>
        <w:pStyle w:val="BodyText1"/>
      </w:pPr>
      <w:r w:rsidRPr="00CF7A27">
        <w:t xml:space="preserve">Teacher mark sheets for the practical application should </w:t>
      </w:r>
      <w:r w:rsidR="00AE3ACF">
        <w:t xml:space="preserve">be used in conjunction with student evidence to </w:t>
      </w:r>
      <w:r w:rsidRPr="00CF7A27">
        <w:t xml:space="preserve">confirm grades. </w:t>
      </w:r>
      <w:r w:rsidR="00633190">
        <w:t>All e</w:t>
      </w:r>
      <w:r w:rsidR="00AE3ACF">
        <w:t xml:space="preserve">vidence </w:t>
      </w:r>
      <w:r w:rsidR="00633190">
        <w:t xml:space="preserve">used </w:t>
      </w:r>
      <w:r w:rsidR="00AE3ACF">
        <w:t xml:space="preserve">to </w:t>
      </w:r>
      <w:r w:rsidRPr="00CF7A27">
        <w:t xml:space="preserve">assess the practical should directly </w:t>
      </w:r>
      <w:r w:rsidR="00AE3ACF">
        <w:t>reference</w:t>
      </w:r>
      <w:r w:rsidRPr="00CF7A27">
        <w:t xml:space="preserve"> the performance standards.</w:t>
      </w:r>
    </w:p>
    <w:p w:rsidR="00AA4A46" w:rsidRPr="00CF7A27" w:rsidRDefault="00AA4A46" w:rsidP="00AA4A46">
      <w:pPr>
        <w:pStyle w:val="BodyText1"/>
      </w:pPr>
      <w:r w:rsidRPr="00CF7A27">
        <w:t>Students provided a range of evidence to support their practical in areas of technology and application of safe food handling and, to a lesser extent, evidence of techniques and quality control in preparing and serving food. Students who presented thorough and thoughtful evidence of the practical application were then able to articulate the processes and outcomes in the evaluation with ease.</w:t>
      </w:r>
    </w:p>
    <w:p w:rsidR="00AA4A46" w:rsidRDefault="00AA4A46" w:rsidP="00AA4A46">
      <w:pPr>
        <w:pStyle w:val="BodyText1"/>
      </w:pPr>
      <w:r w:rsidRPr="00B02608">
        <w:t>Th</w:t>
      </w:r>
      <w:r>
        <w:t>e use of technology in the practical a</w:t>
      </w:r>
      <w:r w:rsidRPr="00B02608">
        <w:t>pplication should link with current technol</w:t>
      </w:r>
      <w:r>
        <w:t xml:space="preserve">ogy in food preparation. </w:t>
      </w:r>
      <w:r w:rsidR="0030075D">
        <w:t>Other types of technology, such as smart phones,</w:t>
      </w:r>
      <w:r>
        <w:t xml:space="preserve"> </w:t>
      </w:r>
      <w:r w:rsidRPr="00B02608">
        <w:t>should not form the basis of technology in a p</w:t>
      </w:r>
      <w:r>
        <w:t>ractical task</w:t>
      </w:r>
      <w:r w:rsidR="004732E3">
        <w:t>.</w:t>
      </w:r>
      <w:r w:rsidRPr="00B02608">
        <w:t xml:space="preserve"> </w:t>
      </w:r>
      <w:r w:rsidR="0030075D">
        <w:t>T</w:t>
      </w:r>
      <w:r w:rsidRPr="00B02608">
        <w:t xml:space="preserve">eachers are </w:t>
      </w:r>
      <w:r w:rsidR="0030075D">
        <w:t>encouraged to</w:t>
      </w:r>
      <w:r w:rsidRPr="00B02608">
        <w:t xml:space="preserve"> </w:t>
      </w:r>
      <w:r w:rsidR="0030075D">
        <w:t>provide</w:t>
      </w:r>
      <w:r>
        <w:t xml:space="preserve"> students with p</w:t>
      </w:r>
      <w:r w:rsidRPr="00B02608">
        <w:t xml:space="preserve">erformance standards, or shading the specific </w:t>
      </w:r>
      <w:r w:rsidR="004732E3">
        <w:t xml:space="preserve">features of the </w:t>
      </w:r>
      <w:r>
        <w:t>assessment design criteria</w:t>
      </w:r>
      <w:r w:rsidRPr="00B02608">
        <w:t xml:space="preserve"> being used, </w:t>
      </w:r>
      <w:r w:rsidR="0030075D">
        <w:t>which</w:t>
      </w:r>
      <w:r>
        <w:t xml:space="preserve"> support</w:t>
      </w:r>
      <w:r w:rsidR="0030075D">
        <w:t>s</w:t>
      </w:r>
      <w:r>
        <w:t xml:space="preserve"> students to understand their </w:t>
      </w:r>
      <w:r>
        <w:lastRenderedPageBreak/>
        <w:t>assessment levels.</w:t>
      </w:r>
      <w:r w:rsidRPr="00B02608">
        <w:t xml:space="preserve"> </w:t>
      </w:r>
      <w:r w:rsidR="0030075D">
        <w:t xml:space="preserve">Practical tasks should be clearly linked </w:t>
      </w:r>
      <w:r w:rsidR="004732E3">
        <w:t xml:space="preserve">to </w:t>
      </w:r>
      <w:r w:rsidR="0030075D">
        <w:t xml:space="preserve">the </w:t>
      </w:r>
      <w:r w:rsidR="004732E3">
        <w:t>a</w:t>
      </w:r>
      <w:r w:rsidR="0030075D">
        <w:t xml:space="preserve">ction </w:t>
      </w:r>
      <w:r w:rsidR="004732E3">
        <w:t>p</w:t>
      </w:r>
      <w:r w:rsidR="0030075D">
        <w:t xml:space="preserve">lan or </w:t>
      </w:r>
      <w:r w:rsidR="004732E3">
        <w:t>r</w:t>
      </w:r>
      <w:r w:rsidR="0030075D">
        <w:t xml:space="preserve">esearch </w:t>
      </w:r>
      <w:r w:rsidR="004732E3">
        <w:t>t</w:t>
      </w:r>
      <w:r w:rsidR="0030075D">
        <w:t>ask and be challenging but achievable for students.</w:t>
      </w:r>
    </w:p>
    <w:p w:rsidR="00AA4A46" w:rsidRPr="00CF7A27" w:rsidRDefault="00AA4A46" w:rsidP="00AA4A46">
      <w:pPr>
        <w:pStyle w:val="BodyText1"/>
      </w:pPr>
      <w:r w:rsidRPr="00B02608">
        <w:t xml:space="preserve">It was helpful when moderators could view teacher feedback which supported assessment decisions for the practical. Teachers are strongly encouraged to support students to incorporate </w:t>
      </w:r>
      <w:r>
        <w:t xml:space="preserve">sufficient </w:t>
      </w:r>
      <w:r w:rsidRPr="00B02608">
        <w:t>pho</w:t>
      </w:r>
      <w:r>
        <w:t xml:space="preserve">tographic evidence of processes, aligned to the selected assessment design criteria for the practical activity, </w:t>
      </w:r>
      <w:r w:rsidRPr="00B02608">
        <w:t xml:space="preserve">together with the finished product or outcome, so that grades for the practical performance can be </w:t>
      </w:r>
      <w:r w:rsidR="0030075D">
        <w:t>confirmed.</w:t>
      </w:r>
    </w:p>
    <w:p w:rsidR="00AA4A46" w:rsidRPr="00CF7A27" w:rsidRDefault="00AA4A46" w:rsidP="00AA4A46">
      <w:pPr>
        <w:pStyle w:val="BodyText1"/>
      </w:pPr>
      <w:r w:rsidRPr="00CF7A27">
        <w:t>Teachers are advised to align current assessment design criteria for the practical activity to their assessment pro forma.</w:t>
      </w:r>
    </w:p>
    <w:p w:rsidR="00B23380" w:rsidRDefault="00AA4A46" w:rsidP="009E784A">
      <w:pPr>
        <w:pStyle w:val="Topicheading2"/>
      </w:pPr>
      <w:r>
        <w:t>Individual Evaluation Report</w:t>
      </w:r>
    </w:p>
    <w:p w:rsidR="00325F70" w:rsidRPr="006950A8" w:rsidRDefault="00325F70" w:rsidP="00325F70">
      <w:pPr>
        <w:pStyle w:val="BodyText1"/>
      </w:pPr>
      <w:r w:rsidRPr="006950A8">
        <w:t xml:space="preserve">Teachers who limited the number of </w:t>
      </w:r>
      <w:r>
        <w:t>specific features</w:t>
      </w:r>
      <w:r w:rsidRPr="006950A8">
        <w:t xml:space="preserve"> in their evaluation tasks provid</w:t>
      </w:r>
      <w:r>
        <w:t>ed students with a better</w:t>
      </w:r>
      <w:r w:rsidRPr="006950A8">
        <w:t xml:space="preserve"> opportunity to write in</w:t>
      </w:r>
      <w:r w:rsidR="004732E3">
        <w:t xml:space="preserve"> </w:t>
      </w:r>
      <w:r w:rsidRPr="006950A8">
        <w:t>depth. In these instances, students were able to focus in a solid paragraph and address t</w:t>
      </w:r>
      <w:r>
        <w:t xml:space="preserve">he </w:t>
      </w:r>
      <w:r w:rsidR="004732E3">
        <w:t>specific features</w:t>
      </w:r>
      <w:r>
        <w:t xml:space="preserve"> in</w:t>
      </w:r>
      <w:r w:rsidR="004732E3">
        <w:t xml:space="preserve"> </w:t>
      </w:r>
      <w:r>
        <w:t>depth, providing examples of the links</w:t>
      </w:r>
      <w:r w:rsidRPr="006950A8">
        <w:t xml:space="preserve"> to </w:t>
      </w:r>
      <w:r>
        <w:t>the area of study in the a</w:t>
      </w:r>
      <w:r w:rsidRPr="006950A8">
        <w:t>ction plan or research task, rather than just mentioning it.</w:t>
      </w:r>
    </w:p>
    <w:p w:rsidR="00AA4A46" w:rsidRPr="006950A8" w:rsidRDefault="00AA4A46" w:rsidP="00AA4A46">
      <w:pPr>
        <w:pStyle w:val="BodyText1"/>
      </w:pPr>
      <w:r w:rsidRPr="006950A8">
        <w:t xml:space="preserve">Teachers should ensure that the </w:t>
      </w:r>
      <w:r>
        <w:t>assessment design criteria</w:t>
      </w:r>
      <w:r w:rsidRPr="006950A8">
        <w:t xml:space="preserve"> selected in the evaluation </w:t>
      </w:r>
      <w:r w:rsidR="004732E3">
        <w:t>are</w:t>
      </w:r>
      <w:r w:rsidRPr="006950A8">
        <w:t xml:space="preserve"> </w:t>
      </w:r>
      <w:r w:rsidR="00C87F72">
        <w:t>appropriate</w:t>
      </w:r>
      <w:r w:rsidR="00C87F72" w:rsidRPr="006950A8">
        <w:t xml:space="preserve"> </w:t>
      </w:r>
      <w:r w:rsidRPr="006950A8">
        <w:t xml:space="preserve">to support </w:t>
      </w:r>
      <w:r w:rsidR="00C87F72">
        <w:t xml:space="preserve">links between </w:t>
      </w:r>
      <w:r w:rsidRPr="006950A8">
        <w:t xml:space="preserve">the </w:t>
      </w:r>
      <w:r>
        <w:t>area of study</w:t>
      </w:r>
      <w:r w:rsidR="00C87F72">
        <w:t>,</w:t>
      </w:r>
      <w:r w:rsidR="001318F5">
        <w:t xml:space="preserve"> the </w:t>
      </w:r>
      <w:r>
        <w:t>practical a</w:t>
      </w:r>
      <w:r w:rsidRPr="006950A8">
        <w:t>ctivity</w:t>
      </w:r>
      <w:r w:rsidR="004732E3">
        <w:t>,</w:t>
      </w:r>
      <w:r w:rsidRPr="006950A8">
        <w:t xml:space="preserve"> and </w:t>
      </w:r>
      <w:r>
        <w:t xml:space="preserve">the </w:t>
      </w:r>
      <w:r w:rsidRPr="006950A8">
        <w:t>research or planning</w:t>
      </w:r>
      <w:r>
        <w:t xml:space="preserve"> involved</w:t>
      </w:r>
      <w:r w:rsidRPr="006950A8">
        <w:t xml:space="preserve">. Scaffolding is a technique that can be applied for students with limited writing skills to assist them to complete their evaluation, but </w:t>
      </w:r>
      <w:r w:rsidR="00325F70">
        <w:t>sometimes</w:t>
      </w:r>
      <w:r>
        <w:t xml:space="preserve"> </w:t>
      </w:r>
      <w:r w:rsidRPr="006950A8">
        <w:t>this noticeably restricted student achievement at the higher level</w:t>
      </w:r>
      <w:r>
        <w:t>s</w:t>
      </w:r>
      <w:r w:rsidRPr="006950A8">
        <w:t xml:space="preserve"> for developing </w:t>
      </w:r>
      <w:r w:rsidR="00C87F72">
        <w:t>insightfulness i</w:t>
      </w:r>
      <w:r>
        <w:t>n their evaluation.</w:t>
      </w:r>
      <w:r w:rsidR="00325F70">
        <w:t xml:space="preserve"> Where teachers expected all four specific features for </w:t>
      </w:r>
      <w:r w:rsidR="004732E3">
        <w:t>e</w:t>
      </w:r>
      <w:r w:rsidR="00325F70">
        <w:t>valuation to be addressed within one task, students struggled to achieve this</w:t>
      </w:r>
      <w:r w:rsidR="004732E3" w:rsidRPr="004732E3">
        <w:t xml:space="preserve"> </w:t>
      </w:r>
      <w:r w:rsidR="004732E3">
        <w:t>within 500 words</w:t>
      </w:r>
      <w:r w:rsidR="00325F70">
        <w:t>.</w:t>
      </w:r>
    </w:p>
    <w:p w:rsidR="00AA4A46" w:rsidRPr="00CB2051" w:rsidRDefault="00AA4A46" w:rsidP="00AA4A46">
      <w:pPr>
        <w:pStyle w:val="AssessmentTypeHeading"/>
      </w:pPr>
      <w:r>
        <w:t>Assessment Type 2: Group Activity</w:t>
      </w:r>
    </w:p>
    <w:p w:rsidR="00B23380" w:rsidRDefault="00AA4A46" w:rsidP="009E784A">
      <w:pPr>
        <w:pStyle w:val="Topicheading2"/>
      </w:pPr>
      <w:r>
        <w:t xml:space="preserve">Group Decision-making </w:t>
      </w:r>
      <w:r w:rsidR="00B9069F">
        <w:t>Task</w:t>
      </w:r>
    </w:p>
    <w:p w:rsidR="00AA4A46" w:rsidRPr="006950A8" w:rsidRDefault="00AA4A46" w:rsidP="00AA4A46">
      <w:pPr>
        <w:pStyle w:val="BodyText1"/>
      </w:pPr>
      <w:r w:rsidRPr="006950A8">
        <w:t>Tasks should be designed to suit the student</w:t>
      </w:r>
      <w:r w:rsidR="004732E3">
        <w:t>s</w:t>
      </w:r>
      <w:r w:rsidRPr="006950A8">
        <w:t>. Whil</w:t>
      </w:r>
      <w:r w:rsidR="004732E3">
        <w:t>e</w:t>
      </w:r>
      <w:r w:rsidRPr="006950A8">
        <w:t xml:space="preserve"> tasks can be used from the SACE website, they should be adjusted to suit local community needs and reflect local produce or local clientele.</w:t>
      </w:r>
    </w:p>
    <w:p w:rsidR="00AA4A46" w:rsidRPr="006950A8" w:rsidRDefault="00AA4A46" w:rsidP="00AA4A46">
      <w:pPr>
        <w:pStyle w:val="BodyText1"/>
      </w:pPr>
      <w:r w:rsidRPr="006950A8">
        <w:t xml:space="preserve">The </w:t>
      </w:r>
      <w:r w:rsidR="004732E3">
        <w:t>g</w:t>
      </w:r>
      <w:r w:rsidRPr="006950A8">
        <w:t xml:space="preserve">roup </w:t>
      </w:r>
      <w:r w:rsidR="004732E3">
        <w:t>a</w:t>
      </w:r>
      <w:r w:rsidRPr="006950A8">
        <w:t>ctivity demonstrated a wide range of practical applications</w:t>
      </w:r>
      <w:r>
        <w:t>.</w:t>
      </w:r>
      <w:r w:rsidRPr="006950A8">
        <w:t xml:space="preserve"> Some examples were:</w:t>
      </w:r>
    </w:p>
    <w:p w:rsidR="00AA4A46" w:rsidRPr="00C00CD3" w:rsidRDefault="004732E3" w:rsidP="00C00CD3">
      <w:pPr>
        <w:pStyle w:val="dotpoints"/>
        <w:numPr>
          <w:ilvl w:val="0"/>
          <w:numId w:val="16"/>
        </w:numPr>
      </w:pPr>
      <w:r>
        <w:t>p</w:t>
      </w:r>
      <w:r w:rsidR="00AA4A46" w:rsidRPr="00C00CD3">
        <w:t>op</w:t>
      </w:r>
      <w:r>
        <w:t>-</w:t>
      </w:r>
      <w:r w:rsidR="00AA4A46" w:rsidRPr="00C00CD3">
        <w:t>up restaurants and food trucks</w:t>
      </w:r>
    </w:p>
    <w:p w:rsidR="00AA4A46" w:rsidRPr="00C00CD3" w:rsidRDefault="00AA4A46" w:rsidP="00C00CD3">
      <w:pPr>
        <w:pStyle w:val="dotpoints"/>
        <w:numPr>
          <w:ilvl w:val="0"/>
          <w:numId w:val="16"/>
        </w:numPr>
      </w:pPr>
      <w:r w:rsidRPr="00C00CD3">
        <w:t>tasting boxes (showcasing a range of skills and products, both sweet and savoury)</w:t>
      </w:r>
    </w:p>
    <w:p w:rsidR="00AA4A46" w:rsidRPr="00C00CD3" w:rsidRDefault="004732E3" w:rsidP="00C00CD3">
      <w:pPr>
        <w:pStyle w:val="dotpoints"/>
        <w:numPr>
          <w:ilvl w:val="0"/>
          <w:numId w:val="16"/>
        </w:numPr>
      </w:pPr>
      <w:r>
        <w:t>s</w:t>
      </w:r>
      <w:r w:rsidR="00AA4A46" w:rsidRPr="00C00CD3">
        <w:t>taff morning teas and healthy breakfasts</w:t>
      </w:r>
    </w:p>
    <w:p w:rsidR="00AA4A46" w:rsidRPr="00C00CD3" w:rsidRDefault="004732E3" w:rsidP="00C00CD3">
      <w:pPr>
        <w:pStyle w:val="dotpoints"/>
        <w:numPr>
          <w:ilvl w:val="0"/>
          <w:numId w:val="16"/>
        </w:numPr>
      </w:pPr>
      <w:r>
        <w:t>t</w:t>
      </w:r>
      <w:r w:rsidR="00AA4A46" w:rsidRPr="00C00CD3">
        <w:t>raditional formal dinners for specific community groups.</w:t>
      </w:r>
    </w:p>
    <w:p w:rsidR="00AA4A46" w:rsidRPr="006950A8" w:rsidRDefault="00AA4A46" w:rsidP="00AA4A46">
      <w:pPr>
        <w:pStyle w:val="BodyText1"/>
      </w:pPr>
      <w:r w:rsidRPr="006950A8">
        <w:t>Where classes conducted large-scale catering, they often managed this by dividing the activity into sections for students. For example, one group did the meal preparation, while the other group attended to front</w:t>
      </w:r>
      <w:r w:rsidR="00540AC3">
        <w:t>-</w:t>
      </w:r>
      <w:r w:rsidRPr="006950A8">
        <w:t>of</w:t>
      </w:r>
      <w:r w:rsidR="00540AC3">
        <w:t>-</w:t>
      </w:r>
      <w:r w:rsidRPr="006950A8">
        <w:t xml:space="preserve">house roles. Having two group activities </w:t>
      </w:r>
      <w:r w:rsidR="005F7407">
        <w:t xml:space="preserve">provided opportunities for </w:t>
      </w:r>
      <w:r w:rsidRPr="006950A8">
        <w:t>students to develop a wider range of skills.</w:t>
      </w:r>
    </w:p>
    <w:p w:rsidR="00AA4A46" w:rsidRPr="006950A8" w:rsidRDefault="00AA4A46" w:rsidP="00AA4A46">
      <w:pPr>
        <w:pStyle w:val="BodyText1"/>
      </w:pPr>
      <w:r>
        <w:t>H</w:t>
      </w:r>
      <w:r w:rsidRPr="006950A8">
        <w:t xml:space="preserve">ealthy eating practices </w:t>
      </w:r>
      <w:r>
        <w:t>must be addressed within all group practical activities</w:t>
      </w:r>
      <w:r w:rsidRPr="006950A8">
        <w:t>, and t</w:t>
      </w:r>
      <w:r>
        <w:t>herefore need to be a focus</w:t>
      </w:r>
      <w:r w:rsidRPr="006950A8">
        <w:t xml:space="preserve"> in the group decision-making task. </w:t>
      </w:r>
      <w:r>
        <w:t xml:space="preserve">The healthy eating </w:t>
      </w:r>
      <w:r>
        <w:lastRenderedPageBreak/>
        <w:t>focus</w:t>
      </w:r>
      <w:r w:rsidRPr="006950A8">
        <w:t xml:space="preserve"> should be reflected on in the </w:t>
      </w:r>
      <w:r w:rsidR="00540AC3">
        <w:t>e</w:t>
      </w:r>
      <w:r w:rsidRPr="006950A8">
        <w:t>val</w:t>
      </w:r>
      <w:r>
        <w:t xml:space="preserve">uation through </w:t>
      </w:r>
      <w:r w:rsidR="00540AC3">
        <w:t xml:space="preserve">specific feature </w:t>
      </w:r>
      <w:proofErr w:type="spellStart"/>
      <w:r>
        <w:t>E</w:t>
      </w:r>
      <w:r w:rsidR="005F7407">
        <w:t>3</w:t>
      </w:r>
      <w:proofErr w:type="spellEnd"/>
      <w:r>
        <w:t>. Some groups addressed dietary issues, healthy eating guidelines</w:t>
      </w:r>
      <w:r w:rsidR="00540AC3">
        <w:t>,</w:t>
      </w:r>
      <w:r>
        <w:t xml:space="preserve"> or</w:t>
      </w:r>
      <w:r w:rsidRPr="006950A8">
        <w:t xml:space="preserve"> </w:t>
      </w:r>
      <w:r w:rsidR="00540AC3">
        <w:t xml:space="preserve">the </w:t>
      </w:r>
      <w:r w:rsidRPr="006950A8">
        <w:t>nutritional value of their menus, whil</w:t>
      </w:r>
      <w:r w:rsidR="00540AC3">
        <w:t>e</w:t>
      </w:r>
      <w:r w:rsidRPr="006950A8">
        <w:t xml:space="preserve"> others focused on healthier cooking methods, local seasonal produce, and even making their own bread to </w:t>
      </w:r>
      <w:r>
        <w:t xml:space="preserve">reflect sustainable practices. </w:t>
      </w:r>
      <w:r w:rsidRPr="006950A8">
        <w:t xml:space="preserve">Without the focus on healthy eating, teachers are unable to make a valid assessment </w:t>
      </w:r>
      <w:r>
        <w:t xml:space="preserve">decision </w:t>
      </w:r>
      <w:r w:rsidRPr="006950A8">
        <w:t xml:space="preserve">against the specific feature </w:t>
      </w:r>
      <w:proofErr w:type="spellStart"/>
      <w:r w:rsidRPr="006950A8">
        <w:t>C2</w:t>
      </w:r>
      <w:proofErr w:type="spellEnd"/>
      <w:r w:rsidRPr="006950A8">
        <w:t xml:space="preserve"> in </w:t>
      </w:r>
      <w:r w:rsidR="00540AC3">
        <w:t>c</w:t>
      </w:r>
      <w:r w:rsidRPr="006950A8">
        <w:t>ollaboration.</w:t>
      </w:r>
    </w:p>
    <w:p w:rsidR="00AA4A46" w:rsidRPr="00CF7A27" w:rsidRDefault="00AA4A46" w:rsidP="00AA4A46">
      <w:pPr>
        <w:pStyle w:val="BodyText1"/>
      </w:pPr>
      <w:r>
        <w:t>Where</w:t>
      </w:r>
      <w:r w:rsidRPr="006950A8">
        <w:t xml:space="preserve"> group tasks </w:t>
      </w:r>
      <w:r>
        <w:t xml:space="preserve">were clearly presented, they provided opportunities </w:t>
      </w:r>
      <w:r w:rsidRPr="006950A8">
        <w:t xml:space="preserve">for </w:t>
      </w:r>
      <w:r>
        <w:t xml:space="preserve">all </w:t>
      </w:r>
      <w:r w:rsidRPr="006950A8">
        <w:t xml:space="preserve">students to achieve success and </w:t>
      </w:r>
      <w:r w:rsidR="00540AC3">
        <w:t xml:space="preserve">to </w:t>
      </w:r>
      <w:r w:rsidRPr="006950A8">
        <w:t xml:space="preserve">contribute to problem-solving. </w:t>
      </w:r>
      <w:r w:rsidRPr="00CF7A27">
        <w:t xml:space="preserve">Students generally showed evidence of being able to identify and discuss issues as a group. Teachers generally chose to assess specific features </w:t>
      </w:r>
      <w:proofErr w:type="spellStart"/>
      <w:r w:rsidRPr="00CF7A27">
        <w:t>P1</w:t>
      </w:r>
      <w:proofErr w:type="spellEnd"/>
      <w:r w:rsidRPr="00CF7A27">
        <w:t xml:space="preserve"> and </w:t>
      </w:r>
      <w:proofErr w:type="spellStart"/>
      <w:r w:rsidRPr="00CF7A27">
        <w:t>P2</w:t>
      </w:r>
      <w:proofErr w:type="spellEnd"/>
      <w:r w:rsidRPr="00CF7A27">
        <w:t xml:space="preserve"> in problem-solving, in line with the task description. Teachers must ensure that each member of the group </w:t>
      </w:r>
      <w:r w:rsidR="005F7407">
        <w:t xml:space="preserve">includes a </w:t>
      </w:r>
      <w:r w:rsidRPr="00CF7A27">
        <w:t>copy of the g</w:t>
      </w:r>
      <w:r>
        <w:t xml:space="preserve">roup decision-making task </w:t>
      </w:r>
      <w:r w:rsidRPr="00CF7A27">
        <w:t>in their package, and that group roles are clearly identified for all members of the group. There was evidence of improved understanding of the requirement of group roles, and the word-</w:t>
      </w:r>
      <w:r w:rsidR="00540AC3">
        <w:t>limit</w:t>
      </w:r>
      <w:r w:rsidRPr="00CF7A27">
        <w:t xml:space="preserve"> was generally adhered to.</w:t>
      </w:r>
    </w:p>
    <w:p w:rsidR="00AA4A46" w:rsidRPr="00CF7A27" w:rsidRDefault="00AA4A46" w:rsidP="00AA4A46">
      <w:pPr>
        <w:pStyle w:val="BodyText1"/>
      </w:pPr>
      <w:r w:rsidRPr="006950A8">
        <w:t xml:space="preserve">Where students had used a pro forma for the group task on an </w:t>
      </w:r>
      <w:proofErr w:type="spellStart"/>
      <w:r w:rsidRPr="006950A8">
        <w:t>A3</w:t>
      </w:r>
      <w:proofErr w:type="spellEnd"/>
      <w:r w:rsidRPr="006950A8">
        <w:t xml:space="preserve"> sheet, this was an easy way for them to identify the menu and group r</w:t>
      </w:r>
      <w:r>
        <w:t>oles, but limited their</w:t>
      </w:r>
      <w:r w:rsidRPr="006950A8">
        <w:t xml:space="preserve"> ability to </w:t>
      </w:r>
      <w:r w:rsidR="00D74EF8">
        <w:t xml:space="preserve">document </w:t>
      </w:r>
      <w:r w:rsidRPr="006950A8">
        <w:t>discuss</w:t>
      </w:r>
      <w:r w:rsidR="00D74EF8">
        <w:t>ions about</w:t>
      </w:r>
      <w:r w:rsidRPr="006950A8">
        <w:t xml:space="preserve"> the issues and planning for the group task in depth.</w:t>
      </w:r>
    </w:p>
    <w:p w:rsidR="00AA4A46" w:rsidRPr="00CF7A27" w:rsidRDefault="00AA4A46" w:rsidP="00AA4A46">
      <w:pPr>
        <w:pStyle w:val="BodyText1"/>
      </w:pPr>
      <w:r w:rsidRPr="00CF7A27">
        <w:t>Teachers were often challenged when assessing students who had been absent for the group practical task, particularly when only one group task was set. When students were able to participate in two group activities, they had a better opportunity for successful achievement against the performance standards. Teachers are reminded that documentation of the task allocated to each student within the g</w:t>
      </w:r>
      <w:r>
        <w:t xml:space="preserve">roup </w:t>
      </w:r>
      <w:r w:rsidRPr="00CF7A27">
        <w:t xml:space="preserve">must be attached to every individual student’s task, together with evidence of the practical application. It is important for teachers to allocate the same grade for all students in the group for the group </w:t>
      </w:r>
      <w:r w:rsidR="00D74EF8">
        <w:t>decision</w:t>
      </w:r>
      <w:r w:rsidR="00540AC3">
        <w:t>-</w:t>
      </w:r>
      <w:r w:rsidR="00D74EF8">
        <w:t>making task</w:t>
      </w:r>
      <w:r w:rsidRPr="00CF7A27">
        <w:t>.</w:t>
      </w:r>
    </w:p>
    <w:p w:rsidR="00AA4A46" w:rsidRPr="00CB2051" w:rsidRDefault="00AA4A46" w:rsidP="00AA4A46">
      <w:pPr>
        <w:pStyle w:val="BodyText1"/>
      </w:pPr>
      <w:r>
        <w:t xml:space="preserve">In order to support the highest grade level (A+) in the group activity, teachers </w:t>
      </w:r>
      <w:r w:rsidR="00D74EF8">
        <w:t xml:space="preserve">are reminded to </w:t>
      </w:r>
      <w:r>
        <w:t>clearly demonstrate that all areas of assessment support an A grade th</w:t>
      </w:r>
      <w:r w:rsidR="00D74EF8">
        <w:t>r</w:t>
      </w:r>
      <w:r>
        <w:t>ough the evidence provided. The individual evaluation report must be in the A grade band, as well as the practical application and the collaboration.</w:t>
      </w:r>
    </w:p>
    <w:p w:rsidR="00B23380" w:rsidRDefault="00AA4A46" w:rsidP="009E784A">
      <w:pPr>
        <w:pStyle w:val="Topicheading2"/>
      </w:pPr>
      <w:r>
        <w:t>Group Practical Application</w:t>
      </w:r>
    </w:p>
    <w:p w:rsidR="00AA4A46" w:rsidRPr="00582FCE" w:rsidRDefault="00AA4A46" w:rsidP="00AA4A46">
      <w:pPr>
        <w:pStyle w:val="BodyText1"/>
      </w:pPr>
      <w:r>
        <w:t xml:space="preserve">Many teachers designed appropriate group activities related to a specific area of study, which often had a catering focus. While there were many examples of excellent student evidence in the practical application, teachers should continue to support students to submit clear evidence of this task. Some students did this effectively with photographic evidence together with annotations to explain processes against the performance </w:t>
      </w:r>
      <w:r w:rsidRPr="00582FCE">
        <w:t xml:space="preserve">standards. Where teachers </w:t>
      </w:r>
      <w:r w:rsidR="00520BF9">
        <w:t>compl</w:t>
      </w:r>
      <w:r w:rsidR="00540AC3">
        <w:t>e</w:t>
      </w:r>
      <w:r w:rsidR="00520BF9">
        <w:t xml:space="preserve">mented this evidence by </w:t>
      </w:r>
      <w:r w:rsidRPr="00582FCE">
        <w:t>provid</w:t>
      </w:r>
      <w:r w:rsidR="00520BF9">
        <w:t>ing</w:t>
      </w:r>
      <w:r w:rsidRPr="00582FCE">
        <w:t xml:space="preserve"> shaded performance standards to show achievement, grades co</w:t>
      </w:r>
      <w:r>
        <w:t>uld be confirmed</w:t>
      </w:r>
      <w:r w:rsidRPr="00582FCE">
        <w:t xml:space="preserve"> at moderation.</w:t>
      </w:r>
    </w:p>
    <w:p w:rsidR="00AA4A46" w:rsidRDefault="00AA4A46" w:rsidP="00AA4A46">
      <w:pPr>
        <w:pStyle w:val="BodyText1"/>
      </w:pPr>
      <w:r w:rsidRPr="00582FCE">
        <w:t>Some teachers planned tasks to support local events and conducted large catering exercises. Teachers must be mindful of</w:t>
      </w:r>
      <w:r w:rsidRPr="006950A8">
        <w:t xml:space="preserve"> the weighting of the task and the time allocated in order to provide sufficient tim</w:t>
      </w:r>
      <w:r>
        <w:t>e to address all</w:t>
      </w:r>
      <w:r w:rsidRPr="006950A8">
        <w:t xml:space="preserve"> tasks</w:t>
      </w:r>
      <w:r>
        <w:t xml:space="preserve"> identified on the </w:t>
      </w:r>
      <w:r w:rsidR="00C70D47">
        <w:t>LAP</w:t>
      </w:r>
      <w:r w:rsidRPr="006950A8">
        <w:t>.</w:t>
      </w:r>
    </w:p>
    <w:p w:rsidR="00B23380" w:rsidRDefault="00AA4A46" w:rsidP="009E784A">
      <w:pPr>
        <w:pStyle w:val="Topicheading2"/>
      </w:pPr>
      <w:r>
        <w:t>Individual Evaluation Report</w:t>
      </w:r>
    </w:p>
    <w:p w:rsidR="00AA4A46" w:rsidRPr="00F27B61" w:rsidRDefault="00AA4A46" w:rsidP="00AA4A46">
      <w:pPr>
        <w:pStyle w:val="BodyText1"/>
      </w:pPr>
      <w:r>
        <w:t xml:space="preserve">Students were able to reflect on their individual processes and outcomes, but many </w:t>
      </w:r>
      <w:r w:rsidRPr="00582FCE">
        <w:t>struggled</w:t>
      </w:r>
      <w:r>
        <w:t xml:space="preserve"> with evaluating the effectiveness of the group performance. It was clear in many reports that some of the group members were absent or did not fulfil their roles </w:t>
      </w:r>
      <w:r>
        <w:lastRenderedPageBreak/>
        <w:t xml:space="preserve">adequately within the team. Specific features </w:t>
      </w:r>
      <w:proofErr w:type="spellStart"/>
      <w:r>
        <w:t>E1</w:t>
      </w:r>
      <w:proofErr w:type="spellEnd"/>
      <w:r>
        <w:t xml:space="preserve"> and </w:t>
      </w:r>
      <w:proofErr w:type="spellStart"/>
      <w:r>
        <w:t>E3</w:t>
      </w:r>
      <w:proofErr w:type="spellEnd"/>
      <w:r>
        <w:t xml:space="preserve"> were </w:t>
      </w:r>
      <w:r w:rsidR="00520BF9">
        <w:t xml:space="preserve">often </w:t>
      </w:r>
      <w:r>
        <w:t>addressed more effectively th</w:t>
      </w:r>
      <w:r w:rsidR="00A6089C">
        <w:t xml:space="preserve">an specific features </w:t>
      </w:r>
      <w:proofErr w:type="spellStart"/>
      <w:r w:rsidR="00A6089C">
        <w:t>E2</w:t>
      </w:r>
      <w:proofErr w:type="spellEnd"/>
      <w:r w:rsidR="00A6089C">
        <w:t xml:space="preserve"> and </w:t>
      </w:r>
      <w:proofErr w:type="spellStart"/>
      <w:r w:rsidR="00A6089C">
        <w:t>E4</w:t>
      </w:r>
      <w:proofErr w:type="spellEnd"/>
      <w:r w:rsidR="00A6089C">
        <w:t>.</w:t>
      </w:r>
    </w:p>
    <w:p w:rsidR="00AA4A46" w:rsidRDefault="00AA4A46" w:rsidP="00AA4A46">
      <w:pPr>
        <w:pStyle w:val="Heading2"/>
      </w:pPr>
      <w:r w:rsidRPr="003F03EB">
        <w:t>External Assessment</w:t>
      </w:r>
    </w:p>
    <w:p w:rsidR="00AA4A46" w:rsidRPr="0036305A" w:rsidRDefault="00AA4A46" w:rsidP="00DC6952">
      <w:pPr>
        <w:pStyle w:val="AssessmentTypeHeading"/>
      </w:pPr>
      <w:r w:rsidRPr="0036305A">
        <w:t>Assessment Type 3: Investigation</w:t>
      </w:r>
    </w:p>
    <w:p w:rsidR="00AA4A46" w:rsidRDefault="00AA4A46" w:rsidP="00AA4A46">
      <w:pPr>
        <w:pStyle w:val="BodyText1"/>
      </w:pPr>
      <w:r w:rsidRPr="003F03EB">
        <w:t>It was pleasing to see a wide and interesting variety of investigations presented in 201</w:t>
      </w:r>
      <w:r>
        <w:t>5</w:t>
      </w:r>
      <w:r w:rsidRPr="003F03EB">
        <w:t xml:space="preserve">. The Stage 2 Food and Hospitality course has a focus on the contemporary and changing nature of the food and hospitality industry, hence </w:t>
      </w:r>
      <w:r>
        <w:t>student research should address an</w:t>
      </w:r>
      <w:r w:rsidRPr="003F03EB">
        <w:t xml:space="preserve"> issue that relates to both food and hospitality, with an industry focus.</w:t>
      </w:r>
    </w:p>
    <w:p w:rsidR="00AA4A46" w:rsidRDefault="00AA4A46" w:rsidP="00AA4A46">
      <w:pPr>
        <w:pStyle w:val="BodyText1"/>
      </w:pPr>
      <w:r>
        <w:t xml:space="preserve">It was clear once again </w:t>
      </w:r>
      <w:r w:rsidRPr="003F03EB">
        <w:t>that students who a</w:t>
      </w:r>
      <w:r>
        <w:t>chieved at a high level in the i</w:t>
      </w:r>
      <w:r w:rsidRPr="003F03EB">
        <w:t xml:space="preserve">nvestigation had closely followed guidelines </w:t>
      </w:r>
      <w:r>
        <w:t xml:space="preserve">from the subject outline </w:t>
      </w:r>
      <w:r w:rsidRPr="003F03EB">
        <w:t>relating to Assessment Type</w:t>
      </w:r>
      <w:r w:rsidR="00902155">
        <w:t> </w:t>
      </w:r>
      <w:r w:rsidRPr="003F03EB">
        <w:t>3: Investigation. In the more successful investigations</w:t>
      </w:r>
      <w:r w:rsidR="00540AC3">
        <w:t>,</w:t>
      </w:r>
      <w:r w:rsidRPr="003F03EB">
        <w:t xml:space="preserve"> it was clear that students understood the intent, nature</w:t>
      </w:r>
      <w:r w:rsidR="00540AC3">
        <w:t>,</w:t>
      </w:r>
      <w:r w:rsidRPr="003F03EB">
        <w:t xml:space="preserve"> and requirements of the task and that they had benefited from teacher advice on planning, research, drafting</w:t>
      </w:r>
      <w:r w:rsidR="00540AC3">
        <w:t>,</w:t>
      </w:r>
      <w:r w:rsidRPr="003F03EB">
        <w:t xml:space="preserve"> and appropriate presentation. Teachers should offer advice to s</w:t>
      </w:r>
      <w:r>
        <w:t>tudents on the following areas:</w:t>
      </w:r>
    </w:p>
    <w:p w:rsidR="00AA4A46" w:rsidRPr="00C00CD3" w:rsidRDefault="00AA4A46" w:rsidP="00C00CD3">
      <w:pPr>
        <w:pStyle w:val="dotpoints"/>
        <w:numPr>
          <w:ilvl w:val="0"/>
          <w:numId w:val="15"/>
        </w:numPr>
      </w:pPr>
      <w:r w:rsidRPr="00C00CD3">
        <w:t>developing a clearly stated research question or hypothesis</w:t>
      </w:r>
    </w:p>
    <w:p w:rsidR="00AA4A46" w:rsidRPr="00C00CD3" w:rsidRDefault="00AA4A46" w:rsidP="00C00CD3">
      <w:pPr>
        <w:pStyle w:val="dotpoints"/>
        <w:numPr>
          <w:ilvl w:val="0"/>
          <w:numId w:val="15"/>
        </w:numPr>
      </w:pPr>
      <w:r w:rsidRPr="00C00CD3">
        <w:t>defining the intended scope of the investigation</w:t>
      </w:r>
    </w:p>
    <w:p w:rsidR="00AA4A46" w:rsidRPr="00C00CD3" w:rsidRDefault="00AA4A46" w:rsidP="00C00CD3">
      <w:pPr>
        <w:pStyle w:val="dotpoints"/>
        <w:numPr>
          <w:ilvl w:val="0"/>
          <w:numId w:val="15"/>
        </w:numPr>
      </w:pPr>
      <w:r w:rsidRPr="00C00CD3">
        <w:t>considering the method to be used and the primary and secondary sources needed</w:t>
      </w:r>
    </w:p>
    <w:p w:rsidR="00AA4A46" w:rsidRPr="00C00CD3" w:rsidRDefault="00AA4A46" w:rsidP="00C00CD3">
      <w:pPr>
        <w:pStyle w:val="dotpoints"/>
        <w:numPr>
          <w:ilvl w:val="0"/>
          <w:numId w:val="15"/>
        </w:numPr>
      </w:pPr>
      <w:r w:rsidRPr="00C00CD3">
        <w:t>undertaking the investigation and acknowledging sources appropriately</w:t>
      </w:r>
      <w:r w:rsidR="00540AC3">
        <w:t>.</w:t>
      </w:r>
    </w:p>
    <w:p w:rsidR="00AA4A46" w:rsidRDefault="00AA4A46" w:rsidP="00AA4A46">
      <w:pPr>
        <w:pStyle w:val="BodyText1"/>
      </w:pPr>
      <w:r w:rsidRPr="003F03EB">
        <w:t xml:space="preserve">Most </w:t>
      </w:r>
      <w:r>
        <w:t>investigations</w:t>
      </w:r>
      <w:r w:rsidRPr="003F03EB">
        <w:t xml:space="preserve"> followed a common format, with an introduction outlining the issue stated as a research question or hypothesis, an outline of the scope and methodology of the investigation, a discussion of findings under focusing questions</w:t>
      </w:r>
      <w:r w:rsidR="00540AC3">
        <w:t>,</w:t>
      </w:r>
      <w:r w:rsidRPr="003F03EB">
        <w:t xml:space="preserve"> and finally a conclusion where students were able to add to and draw together their analysis. This structure was effective in assisting students to present evidence against the specific features.</w:t>
      </w:r>
    </w:p>
    <w:p w:rsidR="00AA4A46" w:rsidRPr="003F03EB" w:rsidRDefault="00AA4A46" w:rsidP="00AA4A46">
      <w:pPr>
        <w:pStyle w:val="BodyText1"/>
      </w:pPr>
      <w:r w:rsidRPr="003F03EB">
        <w:t>The following section discusses, in turn, each of the specific features of the assessment design criteria used in assessing the investigation.</w:t>
      </w:r>
    </w:p>
    <w:p w:rsidR="00B23380" w:rsidRDefault="00AA4A46" w:rsidP="009E784A">
      <w:pPr>
        <w:pStyle w:val="Topicheading2"/>
      </w:pPr>
      <w:proofErr w:type="spellStart"/>
      <w:r w:rsidRPr="00090AEE">
        <w:t>ICA1</w:t>
      </w:r>
      <w:proofErr w:type="spellEnd"/>
      <w:r w:rsidRPr="00090AEE">
        <w:t>: Investigation and critical analysis of contemporary trends and/or issues related</w:t>
      </w:r>
      <w:r w:rsidRPr="003F03EB">
        <w:t xml:space="preserve"> to food and </w:t>
      </w:r>
      <w:r w:rsidRPr="00582FCE">
        <w:t>hospitality</w:t>
      </w:r>
    </w:p>
    <w:p w:rsidR="00AA4A46" w:rsidRDefault="00AA4A46" w:rsidP="00AA4A46">
      <w:pPr>
        <w:pStyle w:val="BodyText1"/>
      </w:pPr>
      <w:r w:rsidRPr="003F03EB">
        <w:t xml:space="preserve">It was pleasing to see </w:t>
      </w:r>
      <w:r w:rsidR="00540AC3">
        <w:t>that</w:t>
      </w:r>
      <w:r>
        <w:t xml:space="preserve"> </w:t>
      </w:r>
      <w:r w:rsidRPr="003F03EB">
        <w:t>many classes had covered a wide range of issues, as this reflected originality and student engagemen</w:t>
      </w:r>
      <w:r>
        <w:t>t. Once again it was clear that</w:t>
      </w:r>
      <w:r w:rsidRPr="003F03EB">
        <w:t xml:space="preserve"> time spent in the planning phase, with appropriate guidance from the teacher to select an appropriate issue, appeared to be a critical</w:t>
      </w:r>
      <w:r>
        <w:t xml:space="preserve"> factor for students having the</w:t>
      </w:r>
      <w:r w:rsidRPr="003F03EB">
        <w:t xml:space="preserve"> best opportunity to achieve success. Students are encouraged to develop original and innovative ideas for their investigation. Brainstorming potential issues may be a useful strategy to spark interest or as a starting point for st</w:t>
      </w:r>
      <w:r>
        <w:t>udents to refine their ideas, follow</w:t>
      </w:r>
      <w:r w:rsidR="00540AC3">
        <w:t>ed by</w:t>
      </w:r>
      <w:r>
        <w:t xml:space="preserve"> stating</w:t>
      </w:r>
      <w:r w:rsidRPr="003F03EB">
        <w:t xml:space="preserve"> their contemporary issue as a research question or hypothesis. Students should ma</w:t>
      </w:r>
      <w:r>
        <w:t>ke clear links with a selected a</w:t>
      </w:r>
      <w:r w:rsidRPr="003F03EB">
        <w:t>rea of study, documenting this in the inte</w:t>
      </w:r>
      <w:r>
        <w:t>nded scope of the investigation, t</w:t>
      </w:r>
      <w:r w:rsidRPr="003F03EB">
        <w:t>hus providing a fo</w:t>
      </w:r>
      <w:r>
        <w:t>cus and direction for research.</w:t>
      </w:r>
    </w:p>
    <w:p w:rsidR="00AA4A46" w:rsidRDefault="00AA4A46" w:rsidP="00AA4A46">
      <w:pPr>
        <w:pStyle w:val="BodyText1"/>
      </w:pPr>
      <w:r w:rsidRPr="003F03EB">
        <w:t xml:space="preserve">The link to hospitality is crucial for students to have the best opportunity to achieve success against the assessment </w:t>
      </w:r>
      <w:r>
        <w:t xml:space="preserve">design </w:t>
      </w:r>
      <w:r w:rsidRPr="003F03EB">
        <w:t>criteria.</w:t>
      </w:r>
      <w:r w:rsidR="00DF53F4">
        <w:t xml:space="preserve"> </w:t>
      </w:r>
      <w:r w:rsidRPr="003F03EB">
        <w:t xml:space="preserve">This means that issues such as dieting are not appropriate, nor are those related to the domestic food area. Teachers </w:t>
      </w:r>
      <w:r w:rsidRPr="003F03EB">
        <w:lastRenderedPageBreak/>
        <w:t>should advise students that, as two of the specific features (</w:t>
      </w:r>
      <w:proofErr w:type="spellStart"/>
      <w:r w:rsidRPr="003F03EB">
        <w:t>ICA1</w:t>
      </w:r>
      <w:proofErr w:type="spellEnd"/>
      <w:r w:rsidRPr="003F03EB">
        <w:t xml:space="preserve"> and </w:t>
      </w:r>
      <w:proofErr w:type="spellStart"/>
      <w:r w:rsidRPr="003F03EB">
        <w:t>E4</w:t>
      </w:r>
      <w:proofErr w:type="spellEnd"/>
      <w:r w:rsidRPr="003F03EB">
        <w:t>) specifically refer to ‘issues related to</w:t>
      </w:r>
      <w:r>
        <w:t xml:space="preserve"> food and hospitality’, they</w:t>
      </w:r>
      <w:r w:rsidRPr="003F03EB">
        <w:t xml:space="preserve"> have limited opportunity to achieve success against these criteria if their issue is outside the scope of the subject.</w:t>
      </w:r>
    </w:p>
    <w:p w:rsidR="00AA4A46" w:rsidRDefault="00AA4A46" w:rsidP="00AA4A46">
      <w:pPr>
        <w:pStyle w:val="BodyText1"/>
      </w:pPr>
      <w:r w:rsidRPr="003F03EB">
        <w:t>Local issues or those recently in the media often led to successful and interesting investigations. Examples of such investigations were based on issues from newspapers or from hospitality industry journals. It was pleasing to see new issues coming through. These included, but were not limited to, whether celebrity chefs endorse healthy eating</w:t>
      </w:r>
      <w:r w:rsidR="002972E8">
        <w:t xml:space="preserve"> and</w:t>
      </w:r>
      <w:r w:rsidRPr="003F03EB">
        <w:t xml:space="preserve"> whether restaurants should b</w:t>
      </w:r>
      <w:r>
        <w:t>e catering for more solo diners. There were also</w:t>
      </w:r>
      <w:r w:rsidRPr="003F03EB">
        <w:t xml:space="preserve"> a variety of issues related to the influence of sustainability on hospitality and the impact of various types of social media on the industry.</w:t>
      </w:r>
    </w:p>
    <w:p w:rsidR="00AA4A46" w:rsidRDefault="00AA4A46" w:rsidP="00AA4A46">
      <w:pPr>
        <w:pStyle w:val="BodyText1"/>
      </w:pPr>
      <w:r w:rsidRPr="003F03EB">
        <w:t>A well-crafted research question or hypothesis was the basis for enabling the development of cr</w:t>
      </w:r>
      <w:r>
        <w:t>itical analysis. For example, ‘T</w:t>
      </w:r>
      <w:r w:rsidRPr="003F03EB">
        <w:t>o what extent are Adelaide food and hospitality businesses changing policie</w:t>
      </w:r>
      <w:r>
        <w:t xml:space="preserve">s to decrease food wastage?’ was shown to be </w:t>
      </w:r>
      <w:r w:rsidRPr="003F03EB">
        <w:t>a better starting point for the investigation than ‘Food wastage by hospitality businesses in Adelaide’. The first version leads to a comparison and debate of the issue, while the latter leads to a project</w:t>
      </w:r>
      <w:r w:rsidR="002972E8">
        <w:t>-</w:t>
      </w:r>
      <w:r w:rsidRPr="003F03EB">
        <w:t>style presentation of information. Additionally, when the answer to a research question is too obvious, it is difficult for students to achieve well-considered depth in thei</w:t>
      </w:r>
      <w:r>
        <w:t>r response.</w:t>
      </w:r>
    </w:p>
    <w:p w:rsidR="00AA4A46" w:rsidRDefault="00AA4A46" w:rsidP="00AA4A46">
      <w:pPr>
        <w:pStyle w:val="BodyText1"/>
      </w:pPr>
      <w:r w:rsidRPr="003F03EB">
        <w:t xml:space="preserve">Students should structure their investigation around </w:t>
      </w:r>
      <w:r>
        <w:t>three or four</w:t>
      </w:r>
      <w:r w:rsidRPr="003F03EB">
        <w:t xml:space="preserve"> focusing questions linked to the hypothesis or researc</w:t>
      </w:r>
      <w:r>
        <w:t xml:space="preserve">h question. The choice of open </w:t>
      </w:r>
      <w:r w:rsidRPr="003F03EB">
        <w:t>focusing questions fostered depth and analysis.</w:t>
      </w:r>
    </w:p>
    <w:p w:rsidR="00AA4A46" w:rsidRPr="003F03EB" w:rsidRDefault="00AA4A46" w:rsidP="00AA4A46">
      <w:pPr>
        <w:pStyle w:val="BodyText1"/>
      </w:pPr>
      <w:r w:rsidRPr="003F03EB">
        <w:t>In the stronger investigations</w:t>
      </w:r>
      <w:r w:rsidR="002972E8">
        <w:t>,</w:t>
      </w:r>
      <w:r w:rsidRPr="003F03EB">
        <w:t xml:space="preserve"> students were able to show critical analysis by comparing and contrasting their research, and showing an ability to sy</w:t>
      </w:r>
      <w:r>
        <w:t>nthesise their findings. One way</w:t>
      </w:r>
      <w:r w:rsidRPr="003F03EB">
        <w:t xml:space="preserve"> in which this was done was by drawing on a range of sources of information from various perspectives under each focus question, rather than presenting limited data. Evidence could then be presented to demonstrate use of expert primary sources together with sound, </w:t>
      </w:r>
      <w:r>
        <w:t xml:space="preserve">up-to-date secondary sources </w:t>
      </w:r>
      <w:r w:rsidRPr="003F03EB">
        <w:t xml:space="preserve">as a basis for analysis and discussion. The higher-achieving investigations showed depth, with students thinking critically and thoroughly teasing out data and information. In these investigations, students tended to compare and contrast information and offer reasons for certain data or results related to their selected issue. It was clear that a debate from a range of viewpoints, or from the perspective of all key stakeholders, enabled students to </w:t>
      </w:r>
      <w:r>
        <w:t>develop an argument and foster</w:t>
      </w:r>
      <w:r w:rsidRPr="003F03EB">
        <w:t xml:space="preserve"> analysis. Where students also gave examples in support of discussion or statements, their points were more </w:t>
      </w:r>
      <w:r>
        <w:t>relevant and focused.</w:t>
      </w:r>
    </w:p>
    <w:p w:rsidR="00B23380" w:rsidRDefault="00AA4A46" w:rsidP="009E784A">
      <w:pPr>
        <w:pStyle w:val="Topicheading2"/>
      </w:pPr>
      <w:proofErr w:type="spellStart"/>
      <w:r w:rsidRPr="00315DC2">
        <w:t>ICA2</w:t>
      </w:r>
      <w:proofErr w:type="spellEnd"/>
      <w:r w:rsidRPr="00315DC2">
        <w:t>: Analysis of information for relevance and appropriateness, with appropriate</w:t>
      </w:r>
      <w:r w:rsidRPr="00DB693F">
        <w:t xml:space="preserve"> acknowledgment of sources</w:t>
      </w:r>
    </w:p>
    <w:p w:rsidR="00AA4A46" w:rsidRDefault="00AA4A46" w:rsidP="00AA4A46">
      <w:pPr>
        <w:pStyle w:val="BodyText1"/>
      </w:pPr>
      <w:r w:rsidRPr="003F03EB">
        <w:t xml:space="preserve">The majority of students demonstrated </w:t>
      </w:r>
      <w:r>
        <w:t xml:space="preserve">competent </w:t>
      </w:r>
      <w:r w:rsidRPr="003F03EB">
        <w:t>research skills. In the stronger investigations</w:t>
      </w:r>
      <w:r w:rsidR="002972E8">
        <w:t>,</w:t>
      </w:r>
      <w:r w:rsidRPr="003F03EB">
        <w:t xml:space="preserve"> students used a variety </w:t>
      </w:r>
      <w:r>
        <w:t xml:space="preserve">of appropriate sources of data from a </w:t>
      </w:r>
      <w:r w:rsidRPr="003F03EB">
        <w:t xml:space="preserve">combination of </w:t>
      </w:r>
      <w:r>
        <w:t xml:space="preserve">both </w:t>
      </w:r>
      <w:r w:rsidRPr="003F03EB">
        <w:t xml:space="preserve">primary and secondary sources. Students who planned their research </w:t>
      </w:r>
      <w:r>
        <w:t>path well had a range of data from</w:t>
      </w:r>
      <w:r w:rsidRPr="003F03EB">
        <w:t xml:space="preserve"> which they could draw </w:t>
      </w:r>
      <w:r>
        <w:t>on t</w:t>
      </w:r>
      <w:r w:rsidRPr="003F03EB">
        <w:t>o analyse</w:t>
      </w:r>
      <w:r>
        <w:t xml:space="preserve"> </w:t>
      </w:r>
      <w:r w:rsidR="002972E8">
        <w:t>—</w:t>
      </w:r>
      <w:r w:rsidRPr="003F03EB">
        <w:t xml:space="preserve"> </w:t>
      </w:r>
      <w:r>
        <w:t>adding</w:t>
      </w:r>
      <w:r w:rsidRPr="003F03EB">
        <w:t xml:space="preserve"> depth to their investigation. Students shoul</w:t>
      </w:r>
      <w:r>
        <w:t xml:space="preserve">d be wary of relying purely on </w:t>
      </w:r>
      <w:r w:rsidR="002972E8">
        <w:t>I</w:t>
      </w:r>
      <w:r w:rsidRPr="003F03EB">
        <w:t>nternet sources</w:t>
      </w:r>
      <w:r w:rsidR="002972E8">
        <w:t>,</w:t>
      </w:r>
      <w:r w:rsidRPr="003F03EB">
        <w:t xml:space="preserve"> as this can limit their ability to exami</w:t>
      </w:r>
      <w:r>
        <w:t xml:space="preserve">ne the issue thoroughly. Where </w:t>
      </w:r>
      <w:r w:rsidR="002972E8">
        <w:t>I</w:t>
      </w:r>
      <w:r w:rsidRPr="003F03EB">
        <w:t>nternet sources are used</w:t>
      </w:r>
      <w:r w:rsidR="002972E8">
        <w:t>,</w:t>
      </w:r>
      <w:r w:rsidRPr="003F03EB">
        <w:t xml:space="preserve"> students should be discerning and take care not to assume that data from international settings can be extrapolated to food and hospitality in Australian settings. Higher-level investigations often used very relevant information that directly related to a local context.</w:t>
      </w:r>
    </w:p>
    <w:p w:rsidR="00AA4A46" w:rsidRDefault="00AA4A46" w:rsidP="00AA4A46">
      <w:pPr>
        <w:pStyle w:val="BodyText1"/>
      </w:pPr>
      <w:r w:rsidRPr="003F03EB">
        <w:lastRenderedPageBreak/>
        <w:t xml:space="preserve">The most successful investigations sourced sound, </w:t>
      </w:r>
      <w:r>
        <w:t>up-to-date</w:t>
      </w:r>
      <w:r w:rsidRPr="003F03EB">
        <w:t xml:space="preserve"> secondary sources such as newspaper or journal articles as the basis for discussion and analysis. Many students were enterprising and successful in their approach to access suitable primary data and used a range of strategies including using blogs, online menu information</w:t>
      </w:r>
      <w:r w:rsidR="002972E8">
        <w:t>,</w:t>
      </w:r>
      <w:r w:rsidRPr="003F03EB">
        <w:t xml:space="preserve"> and hospitality review sites. In the more successful investigations, students synthesised, compared</w:t>
      </w:r>
      <w:r w:rsidR="002972E8">
        <w:t>,</w:t>
      </w:r>
      <w:r w:rsidRPr="003F03EB">
        <w:t xml:space="preserve"> and analysed primary and secondary data under the selected focusing questions, rather than presenting descriptions of surve</w:t>
      </w:r>
      <w:r>
        <w:t>y results question by question.</w:t>
      </w:r>
    </w:p>
    <w:p w:rsidR="00AA4A46" w:rsidRPr="003F03EB" w:rsidRDefault="00AA4A46" w:rsidP="00AA4A46">
      <w:pPr>
        <w:pStyle w:val="BodyText1"/>
      </w:pPr>
      <w:r w:rsidRPr="003F03EB">
        <w:t>While a customer survey may be an appropriate research strategy for some issues, students should consider the most appropriate target group. For example, in some instances primary research was limited to presentation of the results of a simple survey of peers, which often resulted in a lack of informed opinion and a limited level of analysis.</w:t>
      </w:r>
    </w:p>
    <w:p w:rsidR="00AA4A46" w:rsidRDefault="00AA4A46" w:rsidP="00AA4A46">
      <w:pPr>
        <w:pStyle w:val="BodyText1"/>
      </w:pPr>
      <w:r>
        <w:t>R</w:t>
      </w:r>
      <w:r w:rsidRPr="003F03EB">
        <w:t>esearch findings should be used to support the development of an argument under a relevant focus question. In some investigations it seemed that information from primary sources was underused, as sources were mentioned in the scope but there was little evidence of data. Other students presented their data but did</w:t>
      </w:r>
      <w:r w:rsidR="00147CED">
        <w:t xml:space="preserve"> not</w:t>
      </w:r>
      <w:r w:rsidRPr="003F03EB">
        <w:t xml:space="preserve"> discuss or evaluate findings</w:t>
      </w:r>
      <w:r w:rsidR="00953285">
        <w:t>,</w:t>
      </w:r>
      <w:r w:rsidRPr="003F03EB">
        <w:t xml:space="preserve"> which limited their ability to demonstrate analysis. All relevant data should be analysed and included within the main body of the investigation. Appendices and copies of surveys are not to be submitted.</w:t>
      </w:r>
    </w:p>
    <w:p w:rsidR="00AA4A46" w:rsidRDefault="00AA4A46" w:rsidP="00AA4A46">
      <w:pPr>
        <w:pStyle w:val="BodyText1"/>
      </w:pPr>
      <w:r w:rsidRPr="003F03EB">
        <w:t>Most students demonstrated the ability to appropriately reference their sources. Some students tended to link large sections of quoted material with very little discussion or interpretation. The most successful investigations gave pertinent evidence in the form of quotes, with relevant and well-explained examples that explicitly made clear the points raised to support the argument or discussion. The use of succinct and highly relevant quotations within sentences, or with appropriate explanation, ensured students could demonstrate their own knowledge, understanding</w:t>
      </w:r>
      <w:r w:rsidR="00953285">
        <w:t>,</w:t>
      </w:r>
      <w:r w:rsidRPr="003F03EB">
        <w:t xml:space="preserve"> and analysis withou</w:t>
      </w:r>
      <w:r>
        <w:t>t losing their ‘student voice’.</w:t>
      </w:r>
    </w:p>
    <w:p w:rsidR="00AA4A46" w:rsidRPr="003F03EB" w:rsidRDefault="00AA4A46" w:rsidP="00AA4A46">
      <w:pPr>
        <w:pStyle w:val="BodyText1"/>
      </w:pPr>
      <w:r w:rsidRPr="003F03EB">
        <w:t>Students are required to include primary sources in the reference list, and are advised to access the referencing guidelines on the SACE website. Students are encouraged to provide a reference list acknowledging all sources they have used, rather than a bibliography.</w:t>
      </w:r>
    </w:p>
    <w:p w:rsidR="00B23380" w:rsidRDefault="00AA4A46" w:rsidP="009E784A">
      <w:pPr>
        <w:pStyle w:val="Topicheading2"/>
      </w:pPr>
      <w:proofErr w:type="spellStart"/>
      <w:r w:rsidRPr="00DC6952">
        <w:t>ICA3</w:t>
      </w:r>
      <w:proofErr w:type="spellEnd"/>
      <w:r w:rsidRPr="00DC6952">
        <w:t>: Application of literacy and numeracy skills, and use of appropriate terminology</w:t>
      </w:r>
    </w:p>
    <w:p w:rsidR="00AA4A46" w:rsidRDefault="00AA4A46" w:rsidP="00AA4A46">
      <w:pPr>
        <w:pStyle w:val="BodyText1"/>
      </w:pPr>
      <w:r w:rsidRPr="003F03EB">
        <w:t xml:space="preserve">The vast majority of students were successful against specific feature </w:t>
      </w:r>
      <w:proofErr w:type="spellStart"/>
      <w:r w:rsidRPr="003F03EB">
        <w:t>ICA3</w:t>
      </w:r>
      <w:proofErr w:type="spellEnd"/>
      <w:r w:rsidRPr="003F03EB">
        <w:t xml:space="preserve"> and demonstrated strong literacy skills. The stronger investigations were those that appeared to have been carefully drafted and edited to minimise spelling and grammatical errors</w:t>
      </w:r>
      <w:r w:rsidR="00953285">
        <w:t>,</w:t>
      </w:r>
      <w:r w:rsidRPr="003F03EB">
        <w:t xml:space="preserve"> and to ensure a logical flow of ideas. Many students used subject</w:t>
      </w:r>
      <w:r w:rsidR="00953285">
        <w:t>-</w:t>
      </w:r>
      <w:r w:rsidRPr="003F03EB">
        <w:t>specific terminology effectively, and presented well-structured investigations. Successful students depersonalised their work by writing in the third person and this he</w:t>
      </w:r>
      <w:r>
        <w:t>lped achieve an objective tone.</w:t>
      </w:r>
    </w:p>
    <w:p w:rsidR="00AA4A46" w:rsidRDefault="00AA4A46" w:rsidP="00AA4A46">
      <w:pPr>
        <w:pStyle w:val="BodyText1"/>
      </w:pPr>
      <w:r w:rsidRPr="003F03EB">
        <w:t>In the most successf</w:t>
      </w:r>
      <w:r>
        <w:t>ul investigations</w:t>
      </w:r>
      <w:r w:rsidR="00953285">
        <w:t>,</w:t>
      </w:r>
      <w:r>
        <w:t xml:space="preserve"> data was well-</w:t>
      </w:r>
      <w:r w:rsidRPr="003F03EB">
        <w:t>labelled, explained</w:t>
      </w:r>
      <w:r w:rsidR="00953285">
        <w:t>,</w:t>
      </w:r>
      <w:r w:rsidRPr="003F03EB">
        <w:t xml:space="preserve"> and evaluated</w:t>
      </w:r>
      <w:r w:rsidR="00953285">
        <w:t>,</w:t>
      </w:r>
      <w:r w:rsidRPr="003F03EB">
        <w:t xml:space="preserve"> rather than just inserted. This is essential</w:t>
      </w:r>
      <w:r w:rsidR="00953285">
        <w:t>,</w:t>
      </w:r>
      <w:r w:rsidRPr="003F03EB">
        <w:t xml:space="preserve"> as the evidence of learning produced by the student should be explicit and not require the marker to make inferences from the material provided. Students should continue to be discerning in their use of visual data, ensuring </w:t>
      </w:r>
      <w:r w:rsidR="00953285">
        <w:t xml:space="preserve">that </w:t>
      </w:r>
      <w:r w:rsidRPr="003F03EB">
        <w:t>it is used to enhance discussion.</w:t>
      </w:r>
    </w:p>
    <w:p w:rsidR="00AA4A46" w:rsidRPr="003F03EB" w:rsidRDefault="00AA4A46" w:rsidP="00AA4A46">
      <w:pPr>
        <w:pStyle w:val="BodyText1"/>
      </w:pPr>
      <w:r w:rsidRPr="003F03EB">
        <w:lastRenderedPageBreak/>
        <w:t>Many students demonstrated numeracy skills through their analysis of survey data. Generally this data was used well to inform results</w:t>
      </w:r>
      <w:r w:rsidR="00C70D47">
        <w:t>;</w:t>
      </w:r>
      <w:r w:rsidRPr="003F03EB">
        <w:t xml:space="preserve"> however</w:t>
      </w:r>
      <w:r w:rsidR="00C70D47">
        <w:t>,</w:t>
      </w:r>
      <w:r w:rsidRPr="003F03EB">
        <w:t xml:space="preserve"> students are reminded that graphs are not needed when there a</w:t>
      </w:r>
      <w:r>
        <w:t>re only very limited variables.</w:t>
      </w:r>
    </w:p>
    <w:p w:rsidR="00B23380" w:rsidRDefault="00AA4A46" w:rsidP="009E784A">
      <w:pPr>
        <w:pStyle w:val="Topicheading2"/>
      </w:pPr>
      <w:proofErr w:type="spellStart"/>
      <w:r w:rsidRPr="00315DC2">
        <w:t>E4</w:t>
      </w:r>
      <w:proofErr w:type="spellEnd"/>
      <w:r w:rsidRPr="00315DC2">
        <w:t>: Evaluation of contemporary trends and/or issues related to food and hospitality in</w:t>
      </w:r>
      <w:r w:rsidRPr="003F03EB">
        <w:t xml:space="preserve"> different settings</w:t>
      </w:r>
    </w:p>
    <w:p w:rsidR="00AA4A46" w:rsidRDefault="00AA4A46" w:rsidP="00AA4A46">
      <w:pPr>
        <w:pStyle w:val="BodyText1"/>
      </w:pPr>
      <w:r w:rsidRPr="003F03EB">
        <w:t xml:space="preserve">Markers noted that achievement against specific feature </w:t>
      </w:r>
      <w:proofErr w:type="spellStart"/>
      <w:r w:rsidRPr="003F03EB">
        <w:t>E4</w:t>
      </w:r>
      <w:proofErr w:type="spellEnd"/>
      <w:r w:rsidRPr="003F03EB">
        <w:t xml:space="preserve"> seemed to show the greatest difference in format and quality. Students who demonstrated a high level of achievement against </w:t>
      </w:r>
      <w:proofErr w:type="spellStart"/>
      <w:r w:rsidRPr="003F03EB">
        <w:t>E4</w:t>
      </w:r>
      <w:proofErr w:type="spellEnd"/>
      <w:r w:rsidRPr="003F03EB">
        <w:t xml:space="preserve"> tended to evaluate evidence throughout their investigation, supplementing this with a conclusion which analysed findings. Students who only </w:t>
      </w:r>
      <w:r w:rsidR="00D331CD">
        <w:t>had</w:t>
      </w:r>
      <w:r w:rsidRPr="003F03EB">
        <w:t xml:space="preserve"> a short conclusion at the end of their paper tended to summarise and recount</w:t>
      </w:r>
      <w:r w:rsidR="00C70D47">
        <w:t>,</w:t>
      </w:r>
      <w:r w:rsidRPr="003F03EB">
        <w:t xml:space="preserve"> and were often not able to demonstrate the depth necessary to achieve at a higher level. In these papers</w:t>
      </w:r>
      <w:r w:rsidR="00147CED">
        <w:t>,</w:t>
      </w:r>
      <w:r w:rsidRPr="003F03EB">
        <w:t xml:space="preserve"> students tended to recount findings rather than evaluate.</w:t>
      </w:r>
    </w:p>
    <w:p w:rsidR="00AA4A46" w:rsidRPr="00CF7A27" w:rsidRDefault="00AA4A46" w:rsidP="00CF7A27">
      <w:pPr>
        <w:pStyle w:val="BodyText1"/>
      </w:pPr>
      <w:r w:rsidRPr="00CF7A27">
        <w:t>Students are reminded of the following:</w:t>
      </w:r>
    </w:p>
    <w:p w:rsidR="00AA4A46" w:rsidRPr="00DC6952" w:rsidRDefault="00C70D47" w:rsidP="00DC6952">
      <w:pPr>
        <w:pStyle w:val="dotpoints"/>
        <w:numPr>
          <w:ilvl w:val="0"/>
          <w:numId w:val="3"/>
        </w:numPr>
        <w:tabs>
          <w:tab w:val="clear" w:pos="720"/>
          <w:tab w:val="num" w:pos="360"/>
        </w:tabs>
        <w:ind w:left="360"/>
      </w:pPr>
      <w:r>
        <w:t>T</w:t>
      </w:r>
      <w:r w:rsidR="00AA4A46" w:rsidRPr="00DC6952">
        <w:t>he conclusion should be related to the research issue only and should not reflect on the success or limitations of the research process</w:t>
      </w:r>
      <w:r>
        <w:t>.</w:t>
      </w:r>
    </w:p>
    <w:p w:rsidR="00AA4A46" w:rsidRPr="00DC6952" w:rsidRDefault="00C70D47" w:rsidP="00DC6952">
      <w:pPr>
        <w:pStyle w:val="dotpoints"/>
        <w:numPr>
          <w:ilvl w:val="0"/>
          <w:numId w:val="3"/>
        </w:numPr>
        <w:tabs>
          <w:tab w:val="clear" w:pos="720"/>
          <w:tab w:val="num" w:pos="360"/>
        </w:tabs>
        <w:ind w:left="360"/>
      </w:pPr>
      <w:r>
        <w:t>It is</w:t>
      </w:r>
      <w:r w:rsidR="00AA4A46" w:rsidRPr="00DC6952">
        <w:t xml:space="preserve"> importan</w:t>
      </w:r>
      <w:r>
        <w:t>t</w:t>
      </w:r>
      <w:r w:rsidR="00AA4A46" w:rsidRPr="00DC6952">
        <w:t xml:space="preserve"> </w:t>
      </w:r>
      <w:r>
        <w:t>to</w:t>
      </w:r>
      <w:r w:rsidR="00AA4A46" w:rsidRPr="00DC6952">
        <w:t xml:space="preserve"> adher</w:t>
      </w:r>
      <w:r>
        <w:t>e</w:t>
      </w:r>
      <w:r w:rsidR="00AA4A46" w:rsidRPr="00DC6952">
        <w:t xml:space="preserve"> to the specified word-</w:t>
      </w:r>
      <w:r>
        <w:t>limit</w:t>
      </w:r>
      <w:r w:rsidR="00AA4A46" w:rsidRPr="00DC6952">
        <w:t>, to ensure markers are not restricted in reading and marking the conclusion</w:t>
      </w:r>
      <w:r>
        <w:t>.</w:t>
      </w:r>
    </w:p>
    <w:p w:rsidR="00B23380" w:rsidRDefault="00D331CD" w:rsidP="009E784A">
      <w:pPr>
        <w:pStyle w:val="Topicheading2"/>
      </w:pPr>
      <w:r>
        <w:t>Summary</w:t>
      </w:r>
    </w:p>
    <w:p w:rsidR="00AA4A46" w:rsidRDefault="00AA4A46" w:rsidP="00AA4A46">
      <w:pPr>
        <w:pStyle w:val="BodyText1"/>
      </w:pPr>
      <w:r w:rsidRPr="003F03EB">
        <w:t>In summary</w:t>
      </w:r>
      <w:r>
        <w:t>,</w:t>
      </w:r>
      <w:r w:rsidRPr="003F03EB">
        <w:t xml:space="preserve"> the most successful </w:t>
      </w:r>
      <w:r>
        <w:t>investigations featured:</w:t>
      </w:r>
    </w:p>
    <w:p w:rsidR="00AA4A46" w:rsidRPr="003F03EB" w:rsidRDefault="00AA4A46" w:rsidP="00DC6952">
      <w:pPr>
        <w:pStyle w:val="dotpoints"/>
        <w:numPr>
          <w:ilvl w:val="0"/>
          <w:numId w:val="3"/>
        </w:numPr>
        <w:tabs>
          <w:tab w:val="clear" w:pos="720"/>
          <w:tab w:val="num" w:pos="360"/>
        </w:tabs>
        <w:ind w:left="360"/>
      </w:pPr>
      <w:r>
        <w:t>a contemporary issue</w:t>
      </w:r>
      <w:r w:rsidRPr="003F03EB">
        <w:t xml:space="preserve"> </w:t>
      </w:r>
      <w:r>
        <w:t>related to the food and hospitality industry</w:t>
      </w:r>
      <w:r w:rsidR="00C70D47">
        <w:t>,</w:t>
      </w:r>
      <w:r>
        <w:t xml:space="preserve"> </w:t>
      </w:r>
      <w:r w:rsidRPr="003F03EB">
        <w:t>enabling students to critically analyse</w:t>
      </w:r>
    </w:p>
    <w:p w:rsidR="00AA4A46" w:rsidRPr="003F03EB" w:rsidRDefault="00AA4A46" w:rsidP="00DC6952">
      <w:pPr>
        <w:pStyle w:val="dotpoints"/>
        <w:numPr>
          <w:ilvl w:val="0"/>
          <w:numId w:val="3"/>
        </w:numPr>
        <w:tabs>
          <w:tab w:val="clear" w:pos="720"/>
          <w:tab w:val="num" w:pos="360"/>
        </w:tabs>
        <w:ind w:left="360"/>
      </w:pPr>
      <w:r w:rsidRPr="003F03EB">
        <w:t>a local context, either being Adelaide or Australia, as appropriate</w:t>
      </w:r>
    </w:p>
    <w:p w:rsidR="00AA4A46" w:rsidRPr="003F03EB" w:rsidRDefault="00AA4A46" w:rsidP="00DC6952">
      <w:pPr>
        <w:pStyle w:val="dotpoints"/>
        <w:numPr>
          <w:ilvl w:val="0"/>
          <w:numId w:val="3"/>
        </w:numPr>
        <w:tabs>
          <w:tab w:val="clear" w:pos="720"/>
          <w:tab w:val="num" w:pos="360"/>
        </w:tabs>
        <w:ind w:left="360"/>
      </w:pPr>
      <w:r w:rsidRPr="003F03EB">
        <w:t>a clear hypothesis or research question</w:t>
      </w:r>
    </w:p>
    <w:p w:rsidR="00AA4A46" w:rsidRPr="003F03EB" w:rsidRDefault="00AA4A46" w:rsidP="00DC6952">
      <w:pPr>
        <w:pStyle w:val="dotpoints"/>
        <w:numPr>
          <w:ilvl w:val="0"/>
          <w:numId w:val="3"/>
        </w:numPr>
        <w:tabs>
          <w:tab w:val="clear" w:pos="720"/>
          <w:tab w:val="num" w:pos="360"/>
        </w:tabs>
        <w:ind w:left="360"/>
      </w:pPr>
      <w:r w:rsidRPr="003F03EB">
        <w:t>structured analysis and discussion around focus questions</w:t>
      </w:r>
    </w:p>
    <w:p w:rsidR="00AA4A46" w:rsidRPr="003F03EB" w:rsidRDefault="00AA4A46" w:rsidP="00DC6952">
      <w:pPr>
        <w:pStyle w:val="dotpoints"/>
        <w:numPr>
          <w:ilvl w:val="0"/>
          <w:numId w:val="3"/>
        </w:numPr>
        <w:tabs>
          <w:tab w:val="clear" w:pos="720"/>
          <w:tab w:val="num" w:pos="360"/>
        </w:tabs>
        <w:ind w:left="360"/>
      </w:pPr>
      <w:r w:rsidRPr="003F03EB">
        <w:t>synthesis of primary and secondary data</w:t>
      </w:r>
    </w:p>
    <w:p w:rsidR="00AA4A46" w:rsidRPr="003F03EB" w:rsidRDefault="00AA4A46" w:rsidP="00DC6952">
      <w:pPr>
        <w:pStyle w:val="dotpoints"/>
        <w:numPr>
          <w:ilvl w:val="0"/>
          <w:numId w:val="3"/>
        </w:numPr>
        <w:tabs>
          <w:tab w:val="clear" w:pos="720"/>
          <w:tab w:val="num" w:pos="360"/>
        </w:tabs>
        <w:ind w:left="360"/>
      </w:pPr>
      <w:r w:rsidRPr="003F03EB">
        <w:t>evidence of a range of perspectives</w:t>
      </w:r>
    </w:p>
    <w:p w:rsidR="00AA4A46" w:rsidRPr="003F03EB" w:rsidRDefault="00AA4A46" w:rsidP="00DC6952">
      <w:pPr>
        <w:pStyle w:val="dotpoints"/>
        <w:numPr>
          <w:ilvl w:val="0"/>
          <w:numId w:val="3"/>
        </w:numPr>
        <w:tabs>
          <w:tab w:val="clear" w:pos="720"/>
          <w:tab w:val="num" w:pos="360"/>
        </w:tabs>
        <w:ind w:left="360"/>
      </w:pPr>
      <w:r w:rsidRPr="003F03EB">
        <w:t xml:space="preserve">use of </w:t>
      </w:r>
      <w:r>
        <w:t xml:space="preserve">appropriate </w:t>
      </w:r>
      <w:r w:rsidRPr="003F03EB">
        <w:t>visual and numerical data including graphs</w:t>
      </w:r>
    </w:p>
    <w:p w:rsidR="00AA4A46" w:rsidRPr="003F03EB" w:rsidRDefault="00AA4A46" w:rsidP="00DC6952">
      <w:pPr>
        <w:pStyle w:val="dotpoints"/>
        <w:numPr>
          <w:ilvl w:val="0"/>
          <w:numId w:val="3"/>
        </w:numPr>
        <w:tabs>
          <w:tab w:val="clear" w:pos="720"/>
          <w:tab w:val="num" w:pos="360"/>
        </w:tabs>
        <w:ind w:left="360"/>
      </w:pPr>
      <w:r>
        <w:t>clear communication with a focus on careful drafting and editing</w:t>
      </w:r>
    </w:p>
    <w:p w:rsidR="00AA4A46" w:rsidRPr="003F03EB" w:rsidRDefault="00AA4A46" w:rsidP="00DC6952">
      <w:pPr>
        <w:pStyle w:val="dotpoints"/>
        <w:numPr>
          <w:ilvl w:val="0"/>
          <w:numId w:val="3"/>
        </w:numPr>
        <w:tabs>
          <w:tab w:val="clear" w:pos="720"/>
          <w:tab w:val="num" w:pos="360"/>
        </w:tabs>
        <w:ind w:left="360"/>
      </w:pPr>
      <w:r>
        <w:t>a conclusion drawing</w:t>
      </w:r>
      <w:r w:rsidRPr="003F03EB">
        <w:t xml:space="preserve"> together key aspects of evaluation</w:t>
      </w:r>
    </w:p>
    <w:p w:rsidR="00AA4A46" w:rsidRPr="003F03EB" w:rsidRDefault="00AA4A46" w:rsidP="00DC6952">
      <w:pPr>
        <w:pStyle w:val="dotpoints"/>
        <w:numPr>
          <w:ilvl w:val="0"/>
          <w:numId w:val="3"/>
        </w:numPr>
        <w:tabs>
          <w:tab w:val="clear" w:pos="720"/>
          <w:tab w:val="num" w:pos="360"/>
        </w:tabs>
        <w:ind w:left="360"/>
      </w:pPr>
      <w:r w:rsidRPr="003F03EB">
        <w:t>consistent referencing and a reference list</w:t>
      </w:r>
    </w:p>
    <w:p w:rsidR="00AA4A46" w:rsidRPr="003F03EB" w:rsidRDefault="00AA4A46" w:rsidP="00DC6952">
      <w:pPr>
        <w:pStyle w:val="dotpoints"/>
        <w:numPr>
          <w:ilvl w:val="0"/>
          <w:numId w:val="3"/>
        </w:numPr>
        <w:tabs>
          <w:tab w:val="clear" w:pos="720"/>
          <w:tab w:val="num" w:pos="360"/>
        </w:tabs>
        <w:ind w:left="360"/>
      </w:pPr>
      <w:r w:rsidRPr="003F03EB">
        <w:t>adherence to the word</w:t>
      </w:r>
      <w:r w:rsidR="00C70D47">
        <w:t>-</w:t>
      </w:r>
      <w:r w:rsidRPr="003F03EB">
        <w:t>limit</w:t>
      </w:r>
      <w:r w:rsidR="00C70D47">
        <w:t>.</w:t>
      </w:r>
    </w:p>
    <w:p w:rsidR="00AA4A46" w:rsidRPr="00582FCE" w:rsidRDefault="00AA4A46" w:rsidP="00AA4A46">
      <w:pPr>
        <w:pStyle w:val="BodyText1"/>
      </w:pPr>
      <w:r w:rsidRPr="003F03EB">
        <w:t xml:space="preserve">Students should be careful to de-identify their </w:t>
      </w:r>
      <w:r>
        <w:t>work by avoiding use of</w:t>
      </w:r>
      <w:r w:rsidRPr="003F03EB">
        <w:t xml:space="preserve"> student, teacher, and school names. Students should use the cover sheet provided by the SACE Board and note that t</w:t>
      </w:r>
      <w:r>
        <w:t>he correct terminology for the e</w:t>
      </w:r>
      <w:r w:rsidRPr="003F03EB">
        <w:t>xternal assessment task in Food and Hospitality is ‘Investigation’.</w:t>
      </w:r>
    </w:p>
    <w:p w:rsidR="00AA4A46" w:rsidRDefault="00AA4A46" w:rsidP="00AA4A46">
      <w:pPr>
        <w:pStyle w:val="BodyText1"/>
      </w:pPr>
      <w:r>
        <w:t xml:space="preserve">Teachers should be careful to avoid any evidence of their </w:t>
      </w:r>
      <w:r w:rsidRPr="003F03EB">
        <w:t xml:space="preserve">marking process on </w:t>
      </w:r>
      <w:r>
        <w:t xml:space="preserve">individual </w:t>
      </w:r>
      <w:r w:rsidRPr="003F03EB">
        <w:t>investigation</w:t>
      </w:r>
      <w:r>
        <w:t>s</w:t>
      </w:r>
      <w:r w:rsidRPr="003F03EB">
        <w:t xml:space="preserve">. Teachers should carefully follow the guidelines for conducting the investigation and not only check the Stage 2 Food and Hospitality </w:t>
      </w:r>
      <w:proofErr w:type="spellStart"/>
      <w:r w:rsidRPr="003F03EB">
        <w:t>minisite</w:t>
      </w:r>
      <w:proofErr w:type="spellEnd"/>
      <w:r w:rsidRPr="003F03EB">
        <w:t xml:space="preserve"> for information, but direct students to the </w:t>
      </w:r>
      <w:proofErr w:type="spellStart"/>
      <w:r w:rsidRPr="003F03EB">
        <w:t>minisite</w:t>
      </w:r>
      <w:proofErr w:type="spellEnd"/>
      <w:r w:rsidRPr="003F03EB">
        <w:t xml:space="preserve"> when completing thi</w:t>
      </w:r>
      <w:r>
        <w:t>s task. Teachers must verify processes and progress of the i</w:t>
      </w:r>
      <w:r w:rsidRPr="003F03EB">
        <w:t>nvestigation and complete a written verification for each student, using the pro</w:t>
      </w:r>
      <w:r>
        <w:t xml:space="preserve"> </w:t>
      </w:r>
      <w:r w:rsidRPr="003F03EB">
        <w:t>forma on the SACE website.</w:t>
      </w:r>
    </w:p>
    <w:p w:rsidR="00AA4A46" w:rsidRPr="003F03EB" w:rsidRDefault="00AA4A46" w:rsidP="00AA4A46">
      <w:pPr>
        <w:pStyle w:val="BodyText1"/>
      </w:pPr>
      <w:r w:rsidRPr="003F03EB">
        <w:t xml:space="preserve">Teachers and students should note the changes to the </w:t>
      </w:r>
      <w:r>
        <w:t>subject outline for 2016 that relate to the i</w:t>
      </w:r>
      <w:r w:rsidRPr="003F03EB">
        <w:t>nvestigation. In particular, the link to th</w:t>
      </w:r>
      <w:r>
        <w:t>e hospitality industry in the ar</w:t>
      </w:r>
      <w:r w:rsidRPr="003F03EB">
        <w:t>eas</w:t>
      </w:r>
      <w:r>
        <w:t xml:space="preserve"> of s</w:t>
      </w:r>
      <w:r w:rsidRPr="003F03EB">
        <w:t>tudy has been strengthened and changes have been made to the wording of</w:t>
      </w:r>
      <w:r>
        <w:t xml:space="preserve"> </w:t>
      </w:r>
      <w:proofErr w:type="spellStart"/>
      <w:r>
        <w:lastRenderedPageBreak/>
        <w:t>ICA1</w:t>
      </w:r>
      <w:proofErr w:type="spellEnd"/>
      <w:r>
        <w:t xml:space="preserve"> and </w:t>
      </w:r>
      <w:proofErr w:type="spellStart"/>
      <w:r>
        <w:t>E4</w:t>
      </w:r>
      <w:proofErr w:type="spellEnd"/>
      <w:r w:rsidRPr="003F03EB">
        <w:t>. Changes have been made to the relevant performance standard</w:t>
      </w:r>
      <w:r>
        <w:t>s</w:t>
      </w:r>
      <w:r w:rsidRPr="003F03EB">
        <w:t xml:space="preserve"> to reflect the editorial changes.</w:t>
      </w:r>
    </w:p>
    <w:p w:rsidR="00AA4A46" w:rsidRPr="001368BF" w:rsidRDefault="00AA4A46" w:rsidP="00AA4A46">
      <w:pPr>
        <w:pStyle w:val="Heading2"/>
      </w:pPr>
      <w:r w:rsidRPr="001368BF">
        <w:t>Operational Advice</w:t>
      </w:r>
    </w:p>
    <w:p w:rsidR="00AA4A46" w:rsidRPr="00CF7A27" w:rsidRDefault="00AA4A46" w:rsidP="00AA4A46">
      <w:pPr>
        <w:pStyle w:val="BodyText1"/>
      </w:pPr>
      <w:r w:rsidRPr="00CF7A27">
        <w:t>School assessment tasks are set and marked by teachers. Teachers’ assessment decisions are reviewed by moderators. Teacher grades/marks should be evident on all student school assessment work. Teachers must retain all student work throughout the year.</w:t>
      </w:r>
    </w:p>
    <w:p w:rsidR="00AA4A46" w:rsidRPr="00CF7A27" w:rsidRDefault="00AA4A46" w:rsidP="00AA4A46">
      <w:pPr>
        <w:pStyle w:val="BodyText1"/>
      </w:pPr>
      <w:r w:rsidRPr="00CF7A27">
        <w:t>Teachers should familiarise themselves with the requirements for the subject throughout the year from the SACE website. School-assessed work should be packaged in separate packages for both the practical activity and the group activity, as they are moderated separately. Materials should be selected for the students identified according to the SACE Board selection process for the collection of materials.</w:t>
      </w:r>
    </w:p>
    <w:p w:rsidR="00AA4A46" w:rsidRPr="00CF7A27" w:rsidRDefault="00AA4A46" w:rsidP="00AA4A46">
      <w:pPr>
        <w:pStyle w:val="BodyText1"/>
      </w:pPr>
      <w:r w:rsidRPr="00CF7A27">
        <w:t xml:space="preserve">Teachers should make all course changes on the </w:t>
      </w:r>
      <w:r w:rsidR="00C70D47">
        <w:t>LAP</w:t>
      </w:r>
      <w:r w:rsidRPr="00CF7A27">
        <w:t xml:space="preserve"> addendum and check that changes not only satisfy requirements, but are reflected in task design. Teachers should note that weightings are not required for individual tasks</w:t>
      </w:r>
      <w:r w:rsidR="00C70D47">
        <w:t>,</w:t>
      </w:r>
      <w:r w:rsidRPr="00CF7A27">
        <w:t xml:space="preserve"> as these are clearly mandated on the </w:t>
      </w:r>
      <w:r w:rsidR="00C70D47">
        <w:t>LAP</w:t>
      </w:r>
      <w:r w:rsidRPr="00CF7A27">
        <w:t xml:space="preserve"> pro forma for all </w:t>
      </w:r>
      <w:r w:rsidR="00C70D47">
        <w:t>a</w:t>
      </w:r>
      <w:r w:rsidRPr="00CF7A27">
        <w:t xml:space="preserve">ssessment </w:t>
      </w:r>
      <w:r w:rsidR="00C70D47">
        <w:t>t</w:t>
      </w:r>
      <w:r w:rsidRPr="00CF7A27">
        <w:t>ypes.</w:t>
      </w:r>
    </w:p>
    <w:p w:rsidR="00AA4A46" w:rsidRPr="00CF7A27" w:rsidRDefault="00AA4A46" w:rsidP="00CF7A27">
      <w:pPr>
        <w:pStyle w:val="BodyText1"/>
      </w:pPr>
      <w:r w:rsidRPr="00CF7A27">
        <w:t xml:space="preserve">All teachers are urged to familiarise themselves with relevant sections of the procedures in the Stage 2 Food and Hospitality </w:t>
      </w:r>
      <w:r w:rsidR="00C70D47">
        <w:t>s</w:t>
      </w:r>
      <w:r w:rsidRPr="00CF7A27">
        <w:t xml:space="preserve">ubject </w:t>
      </w:r>
      <w:r w:rsidR="00C70D47">
        <w:t>o</w:t>
      </w:r>
      <w:r w:rsidRPr="00CF7A27">
        <w:t xml:space="preserve">perational </w:t>
      </w:r>
      <w:r w:rsidR="00C70D47">
        <w:t>i</w:t>
      </w:r>
      <w:r w:rsidRPr="00CF7A27">
        <w:t>nformation.</w:t>
      </w:r>
    </w:p>
    <w:p w:rsidR="00AA4A46" w:rsidRPr="00582FCE" w:rsidRDefault="00AA4A46" w:rsidP="00AA4A46">
      <w:pPr>
        <w:pStyle w:val="BodyText1"/>
      </w:pPr>
      <w:r w:rsidRPr="003F03EB">
        <w:t xml:space="preserve">The requirement for a 20-credit subject is a minimum of seven tasks including the investigation (see ‘Evidence of Learning’ in the subject outline). Teachers must include an approved </w:t>
      </w:r>
      <w:r w:rsidR="00C70D47">
        <w:t>LAP</w:t>
      </w:r>
      <w:r w:rsidRPr="003F03EB">
        <w:t xml:space="preserve"> (with an endorsed addendum, if appropriate)</w:t>
      </w:r>
      <w:r w:rsidR="00846167">
        <w:t>,</w:t>
      </w:r>
      <w:r w:rsidRPr="003F03EB">
        <w:t xml:space="preserve"> as well as a set of assessment tasks with their package. Teachers should strongly encourage students to remove food orders, recipes, drafts, and other material which is not required in the assessment process. Individual student tasks should be stapled, together with a detailed task sheet and performance standards appropriately shaded to reflect grades awarded. Plastic sleeves are not required for individual student tasks. Teachers are encouraged to provide an overall matrix to </w:t>
      </w:r>
      <w:r w:rsidRPr="00582FCE">
        <w:t>show determination of final grades awarded for each student in the class.</w:t>
      </w:r>
    </w:p>
    <w:p w:rsidR="00AA4A46" w:rsidRPr="003F03EB" w:rsidRDefault="00AA4A46" w:rsidP="00AA4A46">
      <w:pPr>
        <w:pStyle w:val="BodyText1"/>
      </w:pPr>
      <w:r w:rsidRPr="003F03EB">
        <w:t xml:space="preserve">Teachers are reminded that they need to award an I grade </w:t>
      </w:r>
      <w:r w:rsidR="00846167">
        <w:t xml:space="preserve">(‘insufficient evidence’) </w:t>
      </w:r>
      <w:r w:rsidR="00846167" w:rsidRPr="003F03EB">
        <w:t xml:space="preserve">for non-submission of work </w:t>
      </w:r>
      <w:r w:rsidRPr="003F03EB">
        <w:t xml:space="preserve">rather than an E grade. Teachers used the </w:t>
      </w:r>
      <w:r w:rsidR="00F36C1D" w:rsidRPr="00F36C1D">
        <w:t xml:space="preserve">Variations — Moderation Materials </w:t>
      </w:r>
      <w:r w:rsidR="00846167">
        <w:t>f</w:t>
      </w:r>
      <w:r w:rsidR="00F36C1D" w:rsidRPr="00F36C1D">
        <w:t>orm</w:t>
      </w:r>
      <w:r w:rsidRPr="003F03EB">
        <w:t xml:space="preserve"> effectively this year where work was not completed or was missing. However, some teachers did not adjust student grades for work not submitted. Changes to tasks from the original </w:t>
      </w:r>
      <w:r w:rsidR="00C70D47">
        <w:t>LAP</w:t>
      </w:r>
      <w:r w:rsidRPr="003F03EB">
        <w:t xml:space="preserve"> need to be verified by an endorsed addendum attached to the </w:t>
      </w:r>
      <w:r w:rsidR="00C70D47">
        <w:t>LAP</w:t>
      </w:r>
      <w:r w:rsidRPr="003F03EB">
        <w:t>.</w:t>
      </w:r>
    </w:p>
    <w:p w:rsidR="00C70D47" w:rsidRPr="001368BF" w:rsidRDefault="00C70D47" w:rsidP="00C70D47">
      <w:pPr>
        <w:pStyle w:val="BodyText1"/>
        <w:rPr>
          <w:b/>
          <w:sz w:val="28"/>
          <w:szCs w:val="28"/>
        </w:rPr>
      </w:pPr>
      <w:r w:rsidRPr="001368BF">
        <w:rPr>
          <w:b/>
          <w:sz w:val="28"/>
          <w:szCs w:val="28"/>
        </w:rPr>
        <w:t>General Comments</w:t>
      </w:r>
    </w:p>
    <w:p w:rsidR="00C70D47" w:rsidRPr="003F03EB" w:rsidRDefault="00C70D47" w:rsidP="00C70D47">
      <w:pPr>
        <w:pStyle w:val="BodyText1"/>
      </w:pPr>
      <w:r w:rsidRPr="003F03EB">
        <w:t>Teachers are encouraged to attend clarifying forums, where subject experts provide advice to promote discussion between teachers. Clarifying forums for Food and Hosp</w:t>
      </w:r>
      <w:r>
        <w:t>itality for 2016 will focus on a</w:t>
      </w:r>
      <w:r w:rsidRPr="003F03EB">
        <w:t>ssessment types, marking standards</w:t>
      </w:r>
      <w:r w:rsidR="00D331CD">
        <w:t>,</w:t>
      </w:r>
      <w:r w:rsidRPr="003F03EB">
        <w:t xml:space="preserve"> and potential issues around delivery of the course. Teachers are reminded that they can register interest in a marking or moderation panel, via the online link on the SACE website.</w:t>
      </w:r>
    </w:p>
    <w:p w:rsidR="00AA4A46" w:rsidRPr="003F03EB" w:rsidRDefault="00AA4A46" w:rsidP="00AA4A46">
      <w:pPr>
        <w:spacing w:before="480"/>
        <w:rPr>
          <w:rFonts w:ascii="Arial" w:hAnsi="Arial" w:cs="Arial"/>
          <w:szCs w:val="22"/>
        </w:rPr>
      </w:pPr>
      <w:r w:rsidRPr="003F03EB">
        <w:rPr>
          <w:rStyle w:val="CommentReference"/>
          <w:rFonts w:ascii="Arial" w:hAnsi="Arial" w:cs="Arial"/>
          <w:sz w:val="22"/>
          <w:szCs w:val="22"/>
        </w:rPr>
        <w:t>Food and Hospitality</w:t>
      </w:r>
    </w:p>
    <w:p w:rsidR="00AA4A46" w:rsidRPr="003F03EB" w:rsidRDefault="00AA4A46" w:rsidP="00AA4A46">
      <w:pPr>
        <w:rPr>
          <w:rFonts w:ascii="Arial" w:hAnsi="Arial"/>
          <w:szCs w:val="22"/>
        </w:rPr>
      </w:pPr>
      <w:r w:rsidRPr="003F03EB">
        <w:rPr>
          <w:rFonts w:ascii="Arial" w:hAnsi="Arial" w:cs="Arial"/>
          <w:szCs w:val="22"/>
        </w:rPr>
        <w:t>Chief Assessor</w:t>
      </w:r>
    </w:p>
    <w:sectPr w:rsidR="00AA4A46" w:rsidRPr="003F03EB"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5CD" w:rsidRDefault="009325CD">
      <w:r>
        <w:separator/>
      </w:r>
    </w:p>
    <w:p w:rsidR="009325CD" w:rsidRDefault="009325CD"/>
  </w:endnote>
  <w:endnote w:type="continuationSeparator" w:id="0">
    <w:p w:rsidR="009325CD" w:rsidRDefault="009325CD">
      <w:r>
        <w:continuationSeparator/>
      </w:r>
    </w:p>
    <w:p w:rsidR="009325CD" w:rsidRDefault="00932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F36C1D">
    <w:pPr>
      <w:framePr w:wrap="around" w:vAnchor="text" w:hAnchor="margin" w:xAlign="center" w:y="1"/>
    </w:pPr>
    <w:r>
      <w:fldChar w:fldCharType="begin"/>
    </w:r>
    <w:r w:rsidR="001A0F23">
      <w:instrText xml:space="preserve">PAGE  </w:instrText>
    </w:r>
    <w:r>
      <w:fldChar w:fldCharType="separate"/>
    </w:r>
    <w:r w:rsidR="001A0F23">
      <w:rPr>
        <w:noProof/>
      </w:rPr>
      <w:t>1</w:t>
    </w:r>
    <w:r>
      <w:fldChar w:fldCharType="end"/>
    </w:r>
  </w:p>
  <w:p w:rsidR="001A0F23" w:rsidRDefault="001A0F2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F36C1D">
    <w:pPr>
      <w:framePr w:wrap="around" w:vAnchor="text" w:hAnchor="margin" w:xAlign="center" w:y="1"/>
    </w:pPr>
    <w:r>
      <w:fldChar w:fldCharType="begin"/>
    </w:r>
    <w:r w:rsidR="001A0F23">
      <w:instrText xml:space="preserve">PAGE  </w:instrText>
    </w:r>
    <w:r>
      <w:fldChar w:fldCharType="separate"/>
    </w:r>
    <w:r w:rsidR="001A0F23">
      <w:rPr>
        <w:noProof/>
      </w:rPr>
      <w:t>1</w:t>
    </w:r>
    <w:r>
      <w:fldChar w:fldCharType="end"/>
    </w:r>
  </w:p>
  <w:p w:rsidR="001A0F23" w:rsidRDefault="001A0F23">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B7" w:rsidRDefault="00272532" w:rsidP="0054520B">
    <w:pPr>
      <w:pStyle w:val="CAFooter"/>
    </w:pPr>
    <w:r w:rsidRPr="00272532">
      <w:t>Food and Hospitality</w:t>
    </w:r>
    <w:r w:rsidR="009C1816" w:rsidRPr="00272532">
      <w:t xml:space="preserve"> </w:t>
    </w:r>
    <w:r w:rsidR="008D4935">
      <w:t>201</w:t>
    </w:r>
    <w:r w:rsidR="00257958">
      <w:t>5</w:t>
    </w:r>
    <w:r w:rsidR="008D4935">
      <w:t xml:space="preserve"> </w:t>
    </w:r>
    <w:r w:rsidR="000A7E3A">
      <w:t>Chief Assessor’s</w:t>
    </w:r>
    <w:r w:rsidR="009C1816">
      <w:t xml:space="preserve"> Report</w:t>
    </w:r>
    <w:r w:rsidR="009C1816">
      <w:tab/>
    </w:r>
    <w:r w:rsidR="009C1816" w:rsidRPr="005B1FDF">
      <w:t xml:space="preserve">Page </w:t>
    </w:r>
    <w:r w:rsidR="00F36C1D" w:rsidRPr="005B1FDF">
      <w:fldChar w:fldCharType="begin"/>
    </w:r>
    <w:r w:rsidR="009C1816" w:rsidRPr="005B1FDF">
      <w:instrText xml:space="preserve"> PAGE </w:instrText>
    </w:r>
    <w:r w:rsidR="00F36C1D" w:rsidRPr="005B1FDF">
      <w:fldChar w:fldCharType="separate"/>
    </w:r>
    <w:r w:rsidR="004527A1">
      <w:rPr>
        <w:noProof/>
      </w:rPr>
      <w:t>11</w:t>
    </w:r>
    <w:r w:rsidR="00F36C1D" w:rsidRPr="005B1FDF">
      <w:fldChar w:fldCharType="end"/>
    </w:r>
    <w:r w:rsidR="009C1816" w:rsidRPr="005B1FDF">
      <w:t xml:space="preserve"> of </w:t>
    </w:r>
    <w:r w:rsidR="00F36C1D" w:rsidRPr="005B1FDF">
      <w:fldChar w:fldCharType="begin"/>
    </w:r>
    <w:r w:rsidR="009C1816" w:rsidRPr="005B1FDF">
      <w:instrText xml:space="preserve"> NUMPAGES </w:instrText>
    </w:r>
    <w:r w:rsidR="00F36C1D" w:rsidRPr="005B1FDF">
      <w:fldChar w:fldCharType="separate"/>
    </w:r>
    <w:r w:rsidR="004527A1">
      <w:rPr>
        <w:noProof/>
      </w:rPr>
      <w:t>11</w:t>
    </w:r>
    <w:r w:rsidR="00F36C1D" w:rsidRPr="005B1FDF">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F36C1D">
    <w:pPr>
      <w:framePr w:wrap="around" w:vAnchor="text" w:hAnchor="margin" w:xAlign="center" w:y="1"/>
    </w:pPr>
    <w:r>
      <w:fldChar w:fldCharType="begin"/>
    </w:r>
    <w:r w:rsidR="009C1816">
      <w:instrText xml:space="preserve">PAGE  </w:instrText>
    </w:r>
    <w:r>
      <w:fldChar w:fldCharType="separate"/>
    </w:r>
    <w:r w:rsidR="009C1816">
      <w:rPr>
        <w:noProof/>
      </w:rPr>
      <w:t>1</w:t>
    </w:r>
    <w:r>
      <w:fldChar w:fldCharType="end"/>
    </w:r>
  </w:p>
  <w:p w:rsidR="009C1816" w:rsidRDefault="009C1816"/>
  <w:p w:rsidR="006875B7" w:rsidRDefault="006875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5CD" w:rsidRDefault="009325CD">
      <w:r>
        <w:separator/>
      </w:r>
    </w:p>
    <w:p w:rsidR="009325CD" w:rsidRDefault="009325CD"/>
  </w:footnote>
  <w:footnote w:type="continuationSeparator" w:id="0">
    <w:p w:rsidR="009325CD" w:rsidRDefault="009325CD">
      <w:r>
        <w:continuationSeparator/>
      </w:r>
    </w:p>
    <w:p w:rsidR="009325CD" w:rsidRDefault="009325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1A0F2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ind w:right="360"/>
    </w:pPr>
  </w:p>
  <w:p w:rsidR="006875B7" w:rsidRDefault="006875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053F620F"/>
    <w:multiLevelType w:val="hybridMultilevel"/>
    <w:tmpl w:val="405EB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8B9699F"/>
    <w:multiLevelType w:val="hybridMultilevel"/>
    <w:tmpl w:val="6B4CDF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6AD24A84"/>
    <w:multiLevelType w:val="hybridMultilevel"/>
    <w:tmpl w:val="CFFEB8D0"/>
    <w:lvl w:ilvl="0" w:tplc="BA94430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5"/>
  </w:num>
  <w:num w:numId="4">
    <w:abstractNumId w:val="12"/>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12027"/>
    <w:rsid w:val="00033664"/>
    <w:rsid w:val="00037CBD"/>
    <w:rsid w:val="0004325A"/>
    <w:rsid w:val="00054F9D"/>
    <w:rsid w:val="00061DAE"/>
    <w:rsid w:val="0007081C"/>
    <w:rsid w:val="00075B8E"/>
    <w:rsid w:val="000A7E3A"/>
    <w:rsid w:val="000B51DE"/>
    <w:rsid w:val="000C3880"/>
    <w:rsid w:val="000E4E6A"/>
    <w:rsid w:val="0010157A"/>
    <w:rsid w:val="00104542"/>
    <w:rsid w:val="00113786"/>
    <w:rsid w:val="001138EE"/>
    <w:rsid w:val="001318F5"/>
    <w:rsid w:val="001474AD"/>
    <w:rsid w:val="00147CED"/>
    <w:rsid w:val="00160240"/>
    <w:rsid w:val="00165AA5"/>
    <w:rsid w:val="0019071B"/>
    <w:rsid w:val="001A0F23"/>
    <w:rsid w:val="001B0589"/>
    <w:rsid w:val="001B602D"/>
    <w:rsid w:val="001C65C8"/>
    <w:rsid w:val="001C7099"/>
    <w:rsid w:val="001D659D"/>
    <w:rsid w:val="001F3325"/>
    <w:rsid w:val="001F4153"/>
    <w:rsid w:val="001F6CC1"/>
    <w:rsid w:val="00204291"/>
    <w:rsid w:val="002042D6"/>
    <w:rsid w:val="00225FC5"/>
    <w:rsid w:val="00247A2D"/>
    <w:rsid w:val="0025760F"/>
    <w:rsid w:val="00257958"/>
    <w:rsid w:val="00271344"/>
    <w:rsid w:val="00272532"/>
    <w:rsid w:val="002948CC"/>
    <w:rsid w:val="002972E8"/>
    <w:rsid w:val="002A00B7"/>
    <w:rsid w:val="002A21C2"/>
    <w:rsid w:val="002B4579"/>
    <w:rsid w:val="002B625C"/>
    <w:rsid w:val="002C5A36"/>
    <w:rsid w:val="002C62D8"/>
    <w:rsid w:val="002F7A6A"/>
    <w:rsid w:val="0030075D"/>
    <w:rsid w:val="00305CD7"/>
    <w:rsid w:val="00312191"/>
    <w:rsid w:val="00325F70"/>
    <w:rsid w:val="003463FB"/>
    <w:rsid w:val="00355FAC"/>
    <w:rsid w:val="00361D31"/>
    <w:rsid w:val="003671C1"/>
    <w:rsid w:val="003875C3"/>
    <w:rsid w:val="003C5C50"/>
    <w:rsid w:val="003C7581"/>
    <w:rsid w:val="004527A1"/>
    <w:rsid w:val="004732E3"/>
    <w:rsid w:val="004875CD"/>
    <w:rsid w:val="004C52A0"/>
    <w:rsid w:val="004D0F80"/>
    <w:rsid w:val="004D2A53"/>
    <w:rsid w:val="004D53DE"/>
    <w:rsid w:val="004D55B1"/>
    <w:rsid w:val="004E77C7"/>
    <w:rsid w:val="004F4F93"/>
    <w:rsid w:val="00520BF9"/>
    <w:rsid w:val="0053196F"/>
    <w:rsid w:val="00532959"/>
    <w:rsid w:val="00540AC3"/>
    <w:rsid w:val="0054520B"/>
    <w:rsid w:val="00560F4B"/>
    <w:rsid w:val="00574A4E"/>
    <w:rsid w:val="00597399"/>
    <w:rsid w:val="005B1FDF"/>
    <w:rsid w:val="005D713B"/>
    <w:rsid w:val="005F7407"/>
    <w:rsid w:val="00603E07"/>
    <w:rsid w:val="00613FDD"/>
    <w:rsid w:val="006246EA"/>
    <w:rsid w:val="00633190"/>
    <w:rsid w:val="0066363A"/>
    <w:rsid w:val="00663BA6"/>
    <w:rsid w:val="006829AF"/>
    <w:rsid w:val="006875B7"/>
    <w:rsid w:val="006951B8"/>
    <w:rsid w:val="006C3FEB"/>
    <w:rsid w:val="006D46C9"/>
    <w:rsid w:val="006D663D"/>
    <w:rsid w:val="0072189E"/>
    <w:rsid w:val="007263D8"/>
    <w:rsid w:val="00735CE9"/>
    <w:rsid w:val="00744570"/>
    <w:rsid w:val="007507E4"/>
    <w:rsid w:val="00757A06"/>
    <w:rsid w:val="0079634D"/>
    <w:rsid w:val="007A32AD"/>
    <w:rsid w:val="007C16AD"/>
    <w:rsid w:val="007E5CE9"/>
    <w:rsid w:val="00814A7B"/>
    <w:rsid w:val="0083404B"/>
    <w:rsid w:val="00846167"/>
    <w:rsid w:val="00847D4F"/>
    <w:rsid w:val="00875BCA"/>
    <w:rsid w:val="008D4935"/>
    <w:rsid w:val="008D6093"/>
    <w:rsid w:val="008F0CE4"/>
    <w:rsid w:val="008F68EB"/>
    <w:rsid w:val="0090045C"/>
    <w:rsid w:val="00902155"/>
    <w:rsid w:val="00912935"/>
    <w:rsid w:val="00925A8E"/>
    <w:rsid w:val="009306CE"/>
    <w:rsid w:val="009325CD"/>
    <w:rsid w:val="00951B11"/>
    <w:rsid w:val="00953285"/>
    <w:rsid w:val="00966F00"/>
    <w:rsid w:val="00975373"/>
    <w:rsid w:val="009867AC"/>
    <w:rsid w:val="009A443D"/>
    <w:rsid w:val="009A4917"/>
    <w:rsid w:val="009B44BF"/>
    <w:rsid w:val="009B5EE0"/>
    <w:rsid w:val="009C1816"/>
    <w:rsid w:val="009D13AD"/>
    <w:rsid w:val="009E784A"/>
    <w:rsid w:val="009F4384"/>
    <w:rsid w:val="009F78D3"/>
    <w:rsid w:val="00A01540"/>
    <w:rsid w:val="00A137E9"/>
    <w:rsid w:val="00A5184E"/>
    <w:rsid w:val="00A53EB2"/>
    <w:rsid w:val="00A6089C"/>
    <w:rsid w:val="00A74970"/>
    <w:rsid w:val="00A81CA3"/>
    <w:rsid w:val="00A956BA"/>
    <w:rsid w:val="00AA4A46"/>
    <w:rsid w:val="00AB1BDE"/>
    <w:rsid w:val="00AB5993"/>
    <w:rsid w:val="00AB63FF"/>
    <w:rsid w:val="00AE3ACF"/>
    <w:rsid w:val="00AF1476"/>
    <w:rsid w:val="00B1461F"/>
    <w:rsid w:val="00B23380"/>
    <w:rsid w:val="00B27D8F"/>
    <w:rsid w:val="00B37AB5"/>
    <w:rsid w:val="00B55E8B"/>
    <w:rsid w:val="00B62520"/>
    <w:rsid w:val="00B640D2"/>
    <w:rsid w:val="00B67430"/>
    <w:rsid w:val="00B7041D"/>
    <w:rsid w:val="00B80EDC"/>
    <w:rsid w:val="00B83BF9"/>
    <w:rsid w:val="00B9069F"/>
    <w:rsid w:val="00BA47C5"/>
    <w:rsid w:val="00BB5236"/>
    <w:rsid w:val="00BF4A41"/>
    <w:rsid w:val="00C00CD3"/>
    <w:rsid w:val="00C01458"/>
    <w:rsid w:val="00C01636"/>
    <w:rsid w:val="00C36140"/>
    <w:rsid w:val="00C61173"/>
    <w:rsid w:val="00C70D47"/>
    <w:rsid w:val="00C72C56"/>
    <w:rsid w:val="00C74D02"/>
    <w:rsid w:val="00C86F95"/>
    <w:rsid w:val="00C87071"/>
    <w:rsid w:val="00C878D2"/>
    <w:rsid w:val="00C87F72"/>
    <w:rsid w:val="00C91C12"/>
    <w:rsid w:val="00C94D01"/>
    <w:rsid w:val="00CA1C5E"/>
    <w:rsid w:val="00CA1D18"/>
    <w:rsid w:val="00CB233B"/>
    <w:rsid w:val="00CC03DA"/>
    <w:rsid w:val="00CD32DE"/>
    <w:rsid w:val="00CD6252"/>
    <w:rsid w:val="00CF7A27"/>
    <w:rsid w:val="00D061D9"/>
    <w:rsid w:val="00D108CB"/>
    <w:rsid w:val="00D27BE6"/>
    <w:rsid w:val="00D331CD"/>
    <w:rsid w:val="00D74EF8"/>
    <w:rsid w:val="00D955A0"/>
    <w:rsid w:val="00DA62AE"/>
    <w:rsid w:val="00DB0401"/>
    <w:rsid w:val="00DB5AF3"/>
    <w:rsid w:val="00DB6E71"/>
    <w:rsid w:val="00DC6952"/>
    <w:rsid w:val="00DC7C11"/>
    <w:rsid w:val="00DD19CB"/>
    <w:rsid w:val="00DD7C09"/>
    <w:rsid w:val="00DE0ECB"/>
    <w:rsid w:val="00DF2E21"/>
    <w:rsid w:val="00DF42D8"/>
    <w:rsid w:val="00DF53F4"/>
    <w:rsid w:val="00E122A9"/>
    <w:rsid w:val="00E17CAB"/>
    <w:rsid w:val="00E22164"/>
    <w:rsid w:val="00E253E3"/>
    <w:rsid w:val="00E261D1"/>
    <w:rsid w:val="00E4274D"/>
    <w:rsid w:val="00E55E7F"/>
    <w:rsid w:val="00E61CD2"/>
    <w:rsid w:val="00E76CCB"/>
    <w:rsid w:val="00E87E9A"/>
    <w:rsid w:val="00E9608B"/>
    <w:rsid w:val="00EA125F"/>
    <w:rsid w:val="00EB12C8"/>
    <w:rsid w:val="00EF31AB"/>
    <w:rsid w:val="00EF3901"/>
    <w:rsid w:val="00EF3B88"/>
    <w:rsid w:val="00F02D47"/>
    <w:rsid w:val="00F16FAE"/>
    <w:rsid w:val="00F36C1D"/>
    <w:rsid w:val="00F5454B"/>
    <w:rsid w:val="00F652FD"/>
    <w:rsid w:val="00F802C4"/>
    <w:rsid w:val="00FA5691"/>
    <w:rsid w:val="00FB52E5"/>
    <w:rsid w:val="00FF50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532959"/>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customStyle="1" w:styleId="italicsheading0">
    <w:name w:val="italicsheading"/>
    <w:basedOn w:val="Normal"/>
    <w:qFormat/>
    <w:rsid w:val="00AA4A46"/>
    <w:pPr>
      <w:spacing w:after="120"/>
    </w:pPr>
    <w:rPr>
      <w:rFonts w:ascii="Arial" w:hAnsi="Arial" w:cs="Arial"/>
      <w:bCs/>
      <w:i/>
      <w:iCs/>
    </w:rPr>
  </w:style>
  <w:style w:type="paragraph" w:customStyle="1" w:styleId="SOFinalBulletsCoded2-3Letters">
    <w:name w:val="SO Final Bullets Coded (2-3 Letters)"/>
    <w:rsid w:val="00AA4A46"/>
    <w:pPr>
      <w:tabs>
        <w:tab w:val="left" w:pos="567"/>
      </w:tabs>
      <w:spacing w:before="60"/>
      <w:ind w:left="567" w:hanging="567"/>
    </w:pPr>
    <w:rPr>
      <w:rFonts w:ascii="Arial" w:eastAsia="MS Mincho" w:hAnsi="Arial" w:cs="Arial"/>
      <w:color w:val="000000"/>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532959"/>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customStyle="1" w:styleId="italicsheading0">
    <w:name w:val="italicsheading"/>
    <w:basedOn w:val="Normal"/>
    <w:qFormat/>
    <w:rsid w:val="00AA4A46"/>
    <w:pPr>
      <w:spacing w:after="120"/>
    </w:pPr>
    <w:rPr>
      <w:rFonts w:ascii="Arial" w:hAnsi="Arial" w:cs="Arial"/>
      <w:bCs/>
      <w:i/>
      <w:iCs/>
    </w:rPr>
  </w:style>
  <w:style w:type="paragraph" w:customStyle="1" w:styleId="SOFinalBulletsCoded2-3Letters">
    <w:name w:val="SO Final Bullets Coded (2-3 Letters)"/>
    <w:rsid w:val="00AA4A46"/>
    <w:pPr>
      <w:tabs>
        <w:tab w:val="left" w:pos="567"/>
      </w:tabs>
      <w:spacing w:before="60"/>
      <w:ind w:left="567" w:hanging="567"/>
    </w:pPr>
    <w:rPr>
      <w:rFonts w:ascii="Arial" w:eastAsia="MS Mincho" w:hAnsi="Arial" w:cs="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C76127B-37A1-4922-B08E-A573BAC65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6</TotalTime>
  <Pages>11</Pages>
  <Words>4776</Words>
  <Characters>27229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31942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Chris May</cp:lastModifiedBy>
  <cp:revision>6</cp:revision>
  <cp:lastPrinted>2015-12-10T01:27:00Z</cp:lastPrinted>
  <dcterms:created xsi:type="dcterms:W3CDTF">2016-02-05T12:02:00Z</dcterms:created>
  <dcterms:modified xsi:type="dcterms:W3CDTF">2016-02-17T03:12:00Z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A492988</vt:lpwstr>
  </property>
  <property fmtid="{D5CDD505-2E9C-101B-9397-08002B2CF9AE}" pid="3" name="Objective-Comment">
    <vt:lpwstr/>
  </property>
  <property fmtid="{D5CDD505-2E9C-101B-9397-08002B2CF9AE}" pid="4" name="Objective-CreationStamp">
    <vt:filetime>2015-12-20T23:20:52Z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2016-02-17T03:10:39Z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Reports:2015 Chief Assessors Reports:Draft reports - SOCs and editors,  please Edit New Version with these once Chris has let you know:</vt:lpwstr>
  </property>
  <property fmtid="{D5CDD505-2E9C-101B-9397-08002B2CF9AE}" pid="11" name="Objective-Parent">
    <vt:lpwstr>Draft reports - SOCs and editors,  please Edit New Version with these once Chris has let you know</vt:lpwstr>
  </property>
  <property fmtid="{D5CDD505-2E9C-101B-9397-08002B2CF9AE}" pid="12" name="Objective-State">
    <vt:lpwstr>Being Edited</vt:lpwstr>
  </property>
  <property fmtid="{D5CDD505-2E9C-101B-9397-08002B2CF9AE}" pid="13" name="Objective-Title">
    <vt:lpwstr>2015 Food and Hospitality Chief Assessor's Report</vt:lpwstr>
  </property>
  <property fmtid="{D5CDD505-2E9C-101B-9397-08002B2CF9AE}" pid="14" name="Objective-Version">
    <vt:lpwstr>0.20</vt:lpwstr>
  </property>
  <property fmtid="{D5CDD505-2E9C-101B-9397-08002B2CF9AE}" pid="15" name="Objective-VersionComment">
    <vt:lpwstr>Approved for upload</vt:lpwstr>
  </property>
  <property fmtid="{D5CDD505-2E9C-101B-9397-08002B2CF9AE}" pid="16" name="Objective-VersionNumber">
    <vt:r8>20</vt:r8>
  </property>
  <property fmtid="{D5CDD505-2E9C-101B-9397-08002B2CF9AE}" pid="17" name="Objective-FileNumber">
    <vt:lpwstr>qA14314</vt:lpwstr>
  </property>
  <property fmtid="{D5CDD505-2E9C-101B-9397-08002B2CF9AE}" pid="18" name="Objective-Classification">
    <vt:lpwstr>[Inherited - none]</vt:lpwstr>
  </property>
  <property fmtid="{D5CDD505-2E9C-101B-9397-08002B2CF9AE}" pid="19" name="Objective-Caveats">
    <vt:lpwstr/>
  </property>
</Properties>
</file>