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60" w:rsidRPr="002D482A" w:rsidRDefault="00835860" w:rsidP="00835860">
      <w:pPr>
        <w:pStyle w:val="SOFinalHead3PerformanceTable"/>
      </w:pPr>
      <w:r w:rsidRPr="002D482A">
        <w:t>Performance Standards for Stage 2 Food and Hospitality</w:t>
      </w: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Food and Hospitality"/>
      </w:tblPr>
      <w:tblGrid>
        <w:gridCol w:w="369"/>
        <w:gridCol w:w="2104"/>
        <w:gridCol w:w="2048"/>
        <w:gridCol w:w="2050"/>
        <w:gridCol w:w="2124"/>
        <w:gridCol w:w="2021"/>
      </w:tblGrid>
      <w:tr w:rsidR="00835860" w:rsidRPr="002D482A" w:rsidTr="00A4482A">
        <w:trPr>
          <w:trHeight w:val="559"/>
          <w:tblHeader/>
        </w:trPr>
        <w:tc>
          <w:tcPr>
            <w:tcW w:w="38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860" w:rsidRPr="002D482A" w:rsidRDefault="00835860" w:rsidP="00A4482A">
            <w:bookmarkStart w:id="0" w:name="Title_2"/>
            <w:r w:rsidRPr="00F84A9A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5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860" w:rsidRPr="002D482A" w:rsidRDefault="00835860" w:rsidP="00A4482A">
            <w:pPr>
              <w:pStyle w:val="SOFinalPerformanceTableHead1"/>
            </w:pPr>
            <w:bookmarkStart w:id="1" w:name="ColumnTitle_Investigation_Critical_2"/>
            <w:r w:rsidRPr="002D482A">
              <w:t>Investigation and Critical Analysis</w:t>
            </w:r>
            <w:bookmarkEnd w:id="1"/>
          </w:p>
        </w:tc>
        <w:tc>
          <w:tcPr>
            <w:tcW w:w="25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860" w:rsidRPr="002D482A" w:rsidRDefault="00835860" w:rsidP="00A4482A">
            <w:pPr>
              <w:pStyle w:val="SOFinalPerformanceTableHead1"/>
            </w:pPr>
            <w:bookmarkStart w:id="2" w:name="ColumnTitle_Problem_Solving_2"/>
            <w:r w:rsidRPr="002D482A">
              <w:t>Problem-solving</w:t>
            </w:r>
            <w:bookmarkEnd w:id="2"/>
          </w:p>
        </w:tc>
        <w:tc>
          <w:tcPr>
            <w:tcW w:w="252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860" w:rsidRPr="002D482A" w:rsidRDefault="00835860" w:rsidP="00A4482A">
            <w:pPr>
              <w:pStyle w:val="SOFinalPerformanceTableHead1"/>
            </w:pPr>
            <w:bookmarkStart w:id="3" w:name="ColumnTitle_Practical_Application_2"/>
            <w:r w:rsidRPr="002D482A">
              <w:t>Practical Application</w:t>
            </w:r>
            <w:bookmarkEnd w:id="3"/>
          </w:p>
        </w:tc>
        <w:tc>
          <w:tcPr>
            <w:tcW w:w="25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860" w:rsidRPr="002D482A" w:rsidRDefault="00835860" w:rsidP="00A4482A">
            <w:pPr>
              <w:pStyle w:val="SOFinalPerformanceTableHead1"/>
            </w:pPr>
            <w:bookmarkStart w:id="4" w:name="ColumnTitle_Collaboration_2"/>
            <w:r w:rsidRPr="002D482A">
              <w:t>Collaboration</w:t>
            </w:r>
            <w:bookmarkEnd w:id="4"/>
          </w:p>
        </w:tc>
        <w:tc>
          <w:tcPr>
            <w:tcW w:w="252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860" w:rsidRPr="002D482A" w:rsidRDefault="00835860" w:rsidP="00A4482A">
            <w:pPr>
              <w:pStyle w:val="SOFinalPerformanceTableHead1"/>
            </w:pPr>
            <w:bookmarkStart w:id="5" w:name="ColumnTitle_Evaluation_1"/>
            <w:r w:rsidRPr="002D482A">
              <w:t>Evaluation</w:t>
            </w:r>
            <w:bookmarkEnd w:id="5"/>
          </w:p>
        </w:tc>
      </w:tr>
      <w:tr w:rsidR="00835860" w:rsidRPr="002D482A" w:rsidTr="00A4482A">
        <w:tc>
          <w:tcPr>
            <w:tcW w:w="384" w:type="dxa"/>
            <w:shd w:val="clear" w:color="auto" w:fill="D9D9D9" w:themeFill="background1" w:themeFillShade="D9"/>
          </w:tcPr>
          <w:p w:rsidR="00835860" w:rsidRPr="002D482A" w:rsidRDefault="00835860" w:rsidP="00A4482A">
            <w:pPr>
              <w:pStyle w:val="SOFinalPerformanceTableLetters"/>
            </w:pPr>
            <w:bookmarkStart w:id="6" w:name="RowTitle_A_2"/>
            <w:r w:rsidRPr="002D482A">
              <w:t>A</w:t>
            </w:r>
            <w:bookmarkEnd w:id="6"/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In-depth investigation and perceptive critical analysis of contemporary trends and/or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>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Perceptive analysis of information for relevance and appropriateness, with appropriate acknowledgment of 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Highly effective application of literacy and numeracy skills, including clear and consistent use of appropriate terminology.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Astute identification and discussion of factors involved in problem-solving related to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Sophisticated and well-informed decision-making about problem-solving and implementation strategies.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Clear and very relevant justification of decisions about problem-solving and implementation strategies.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Ongoing and productive implementation of appropriate techniques, and sophisticated generation and maintenance of quality control in preparing and serving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Productive and efficient organisation and management of time and resources.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Logical selection and application of the most appropriate technology to prepare and serve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Sustained and thorough application of safe food-handling and management practices.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Initiation of ideas and procedures, display of leadership within the group, and proactive and inclusive response to members of the group.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Proactive and focused involvement in group activities and discussions to support healthy eating practices.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Insightful evaluation of the processes and outcomes of practical and group activities, including their own performance.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Sophisticated appraisal of the impact of technology, and/or sustainable practices or globalisation, on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Insightful explanation of the connections between research and/or planning, and practical application.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 xml:space="preserve">In-depth evaluation of contemporary trends and/or issues related to </w:t>
            </w:r>
            <w:r>
              <w:t xml:space="preserve">the </w:t>
            </w:r>
            <w:r w:rsidRPr="002D482A">
              <w:t>food and hospitality</w:t>
            </w:r>
            <w:r>
              <w:t xml:space="preserve"> industry</w:t>
            </w:r>
            <w:r w:rsidRPr="002D482A">
              <w:t xml:space="preserve"> in a variety of settings.</w:t>
            </w:r>
          </w:p>
        </w:tc>
      </w:tr>
      <w:tr w:rsidR="00835860" w:rsidRPr="002D482A" w:rsidTr="00A4482A">
        <w:tc>
          <w:tcPr>
            <w:tcW w:w="384" w:type="dxa"/>
            <w:shd w:val="clear" w:color="auto" w:fill="D9D9D9" w:themeFill="background1" w:themeFillShade="D9"/>
          </w:tcPr>
          <w:p w:rsidR="00835860" w:rsidRPr="002D482A" w:rsidRDefault="00835860" w:rsidP="00A4482A">
            <w:pPr>
              <w:pStyle w:val="SOFinalPerformanceTableLetters"/>
            </w:pPr>
            <w:bookmarkStart w:id="7" w:name="RowTitle_B_2"/>
            <w:r w:rsidRPr="002D482A">
              <w:t>B</w:t>
            </w:r>
            <w:bookmarkEnd w:id="7"/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Detailed investigation and well-considered critical analysis of contemporary trends and/or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>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Well-considered analysis of information for relevance and appropriateness, with appropriate acknowledgment of 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Effective application of literacy and numeracy skills, including mostly clear use of appropriate terminology.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Well-considered identification and discussion of factors involved in problem-solving related to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Well-informed decision-making about problem-solving and implementation strategies.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Mostly clear and relevant justification of decisions about problem-solving and implementation strategies.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Mostly productive implementation of appropriate techniques, and well-considered generation and maintenance of quality control in preparing and serving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Mostly productive organisation and management of time and resources.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 xml:space="preserve">Mostly logical selection and application of appropriate technology to prepare and serve food. 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Capable application of safe food-handling and management practices.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Initiation of some ideas and procedures, some display of leadership within the group, and thoughtful and active response to members of the group.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Active and thoughtful involvement in group activities and discussions to support healthy eating practices.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Thoughtful evaluation of the processes and outcomes of practical and group activities, including their own performance.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Well-informed appraisal of the impact of technology, and/or sustainable practices or globalisation, on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Well-considered explanation of the connections between research and/or planning, and practical application.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Well-informed evaluation of contemporary trends and/or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 xml:space="preserve"> in different settings.</w:t>
            </w:r>
          </w:p>
        </w:tc>
      </w:tr>
      <w:tr w:rsidR="00835860" w:rsidRPr="002D482A" w:rsidTr="00A4482A">
        <w:tc>
          <w:tcPr>
            <w:tcW w:w="384" w:type="dxa"/>
            <w:shd w:val="clear" w:color="auto" w:fill="D9D9D9" w:themeFill="background1" w:themeFillShade="D9"/>
          </w:tcPr>
          <w:p w:rsidR="00835860" w:rsidRPr="002D482A" w:rsidRDefault="00835860" w:rsidP="00A4482A">
            <w:pPr>
              <w:pStyle w:val="SOFinalPerformanceTableLetters"/>
            </w:pPr>
            <w:bookmarkStart w:id="8" w:name="RowTitle_C_2"/>
            <w:r w:rsidRPr="002D482A">
              <w:t>C</w:t>
            </w:r>
            <w:bookmarkEnd w:id="8"/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Competent investigation and some considered critical analysis of contemporary trends and/or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 xml:space="preserve">. 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Considered analysis of information for relevance and appropriateness, with generally appropriate acknowledgment of 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Generally effective application of literacy and numeracy skills, including competent use of appropriate terminology.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Considered identification and discussion of some factors involved in problem-solving related to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Informed decision-making about problem-solving and implementation strategies.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Generally relevant justification of decisions about problem-solving and implementation strategies, with some clarity.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Competent implementation of appropriate techniques, and considered generation and maintenance of quality control in preparing and serving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Competent organisation and management of time and resources.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 xml:space="preserve">Appropriate selection and application of technology to prepare and serve food. 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Competent application of safe food-handling and management practices most of the time.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Some initiative with ideas or procedures, occasional leadership within the group, and generally active response to members of the group.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Active involvement in group activities and discussions to support healthy eating practices.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Considered evaluation of the processes and outcomes of practical and group activities, including their own performance.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Informed appraisal of the impact of technology, and/or sustainable practices or globalisation, on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Considered explanation of the connections between research and/or planning, and practical application.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Informed evaluation of contemporary trends and/or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 xml:space="preserve"> in different settings.</w:t>
            </w:r>
          </w:p>
        </w:tc>
      </w:tr>
      <w:tr w:rsidR="00835860" w:rsidRPr="002D482A" w:rsidTr="00A4482A">
        <w:tc>
          <w:tcPr>
            <w:tcW w:w="384" w:type="dxa"/>
            <w:shd w:val="clear" w:color="auto" w:fill="D9D9D9" w:themeFill="background1" w:themeFillShade="D9"/>
          </w:tcPr>
          <w:p w:rsidR="00835860" w:rsidRPr="002D482A" w:rsidRDefault="00835860" w:rsidP="00A4482A">
            <w:pPr>
              <w:pStyle w:val="SOFinalPerformanceTableLetters"/>
            </w:pPr>
            <w:bookmarkStart w:id="9" w:name="RowTitle_D_2"/>
            <w:r w:rsidRPr="002D482A">
              <w:lastRenderedPageBreak/>
              <w:t>D</w:t>
            </w:r>
            <w:bookmarkEnd w:id="9"/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 xml:space="preserve">Some investigation and basic description of one or more contemporary trends or issues related to </w:t>
            </w:r>
            <w:r>
              <w:t xml:space="preserve">the </w:t>
            </w:r>
            <w:r w:rsidRPr="002D482A">
              <w:t>food and hospitality</w:t>
            </w:r>
            <w:r>
              <w:t xml:space="preserve"> industry</w:t>
            </w:r>
            <w:r w:rsidRPr="002D482A">
              <w:t>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Some consideration of information for relevance or appropriateness, with some inconsistent acknowledgment of 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Inconsistent application of literacy and numeracy skills, with use of some terminology that may be appropriate.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Superficial identification and discussion of some factors involved in solving basic problems related to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Some basic and inconsistent decision-making about problem-solving and/or implementation strategies.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Some description and partial justification of one or more problem-solving and/or implementation strategies.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Basic implementation of one or more techniques, and some basic consideration of the generation and maintenance of quality control in preparing and serving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Inconsistent organisation and management of time and resources.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Identification and some application of technology that may be appropriate to prepare or serve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Some endeavour to apply safe food-handling and management practices some of the time.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Some participation within the group, and some response to members of the group. Participation is often passive.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Some basic involvement in group activities or discussions to support healthy eating practices.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Basic consideration of the processes and/or outcomes of practical and group activities, which may include their own performance.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Superficial consideration of the impact of technology, sustainable practices, or globalisation on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Some basic description of one or more connections between research and/or planning, and practical application.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Superficial reflection on one or more contemporary trends 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>, tending towards basic description.</w:t>
            </w:r>
          </w:p>
        </w:tc>
      </w:tr>
      <w:tr w:rsidR="00835860" w:rsidRPr="002D482A" w:rsidTr="00A4482A">
        <w:tc>
          <w:tcPr>
            <w:tcW w:w="384" w:type="dxa"/>
            <w:shd w:val="clear" w:color="auto" w:fill="D9D9D9" w:themeFill="background1" w:themeFillShade="D9"/>
          </w:tcPr>
          <w:p w:rsidR="00835860" w:rsidRPr="002D482A" w:rsidRDefault="00835860" w:rsidP="00A4482A">
            <w:pPr>
              <w:pStyle w:val="SOFinalPerformanceTableLetters"/>
            </w:pPr>
            <w:bookmarkStart w:id="10" w:name="RowTitle_E_2"/>
            <w:r w:rsidRPr="002D482A">
              <w:t>E</w:t>
            </w:r>
            <w:bookmarkEnd w:id="10"/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Limited investigation or basic description of one or more contemporary trends or issues related to</w:t>
            </w:r>
            <w:r>
              <w:t xml:space="preserve"> the</w:t>
            </w:r>
            <w:r w:rsidRPr="002D482A">
              <w:t xml:space="preserve"> food and hospitality</w:t>
            </w:r>
            <w:r>
              <w:t xml:space="preserve"> industry</w:t>
            </w:r>
            <w:r w:rsidRPr="002D482A">
              <w:t>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Limited identification or acknowledgment of information that may have some relevance.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Attempted application of literacy and numeracy skills, with attempted use of some basic terminology that may be appropriate.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Identification of one or more factors involved in solving basic problems related to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Attempted decision-making about a problem-solving or implementation strategy.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Attempted description of one or more problem-solving or implementation strategies.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Attempted development or implementation of a technique, and some awareness of the need for quality control in preparing or serving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Limited organisation or management of time and resources.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Limited identification or application of technology that may be appropriate to prepare or serve food.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Emerging awareness of safe food-handling and management practices.</w:t>
            </w:r>
          </w:p>
        </w:tc>
        <w:tc>
          <w:tcPr>
            <w:tcW w:w="2521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Some attempted participation in one or more aspects of group work, and occasional response to members of the group.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Attempted involvement in one or more group activities or discussions to support healthy eating practices.</w:t>
            </w:r>
          </w:p>
        </w:tc>
        <w:tc>
          <w:tcPr>
            <w:tcW w:w="2522" w:type="dxa"/>
          </w:tcPr>
          <w:p w:rsidR="00835860" w:rsidRPr="002D482A" w:rsidRDefault="00835860" w:rsidP="00A4482A">
            <w:pPr>
              <w:pStyle w:val="SOFinalPerformanceTableText"/>
            </w:pPr>
            <w:r w:rsidRPr="002D482A">
              <w:t>Attempted consideration of one or more processes or outcomes of a practical or group activity, which may include their own performance.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Attempted description of an impact of technology, sustainable practices, or globalisation on the food and hospitality industry.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>Limited awareness of any connections between research and/or planning, and practical application.</w:t>
            </w:r>
          </w:p>
          <w:p w:rsidR="00835860" w:rsidRPr="002D482A" w:rsidRDefault="00835860" w:rsidP="00A4482A">
            <w:pPr>
              <w:pStyle w:val="SOFinalPerformanceTableText"/>
            </w:pPr>
            <w:r w:rsidRPr="002D482A">
              <w:t xml:space="preserve">Some recognition of one or more contemporary trends or issues related to </w:t>
            </w:r>
            <w:r>
              <w:t xml:space="preserve">the </w:t>
            </w:r>
            <w:r w:rsidRPr="002D482A">
              <w:t>food and hospitality</w:t>
            </w:r>
            <w:r>
              <w:t xml:space="preserve"> industry</w:t>
            </w:r>
            <w:r w:rsidRPr="002D482A">
              <w:t>.</w:t>
            </w:r>
          </w:p>
        </w:tc>
      </w:tr>
    </w:tbl>
    <w:p w:rsidR="002B0D95" w:rsidRDefault="002B0D95">
      <w:pPr>
        <w:rPr>
          <w:rFonts w:cs="Arial"/>
          <w:szCs w:val="22"/>
        </w:rPr>
      </w:pPr>
      <w:bookmarkStart w:id="11" w:name="_GoBack"/>
      <w:bookmarkEnd w:id="11"/>
    </w:p>
    <w:sectPr w:rsidR="002B0D95" w:rsidSect="00835860">
      <w:pgSz w:w="11906" w:h="16838" w:code="9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60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35860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860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83586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83586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3586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83586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35860"/>
    <w:pPr>
      <w:spacing w:before="120"/>
    </w:pPr>
    <w:rPr>
      <w:rFonts w:ascii="Arial" w:eastAsia="SimSun" w:hAnsi="Arial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860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83586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83586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3586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83586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35860"/>
    <w:pPr>
      <w:spacing w:before="120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Hitch</dc:creator>
  <cp:lastModifiedBy>Simone Hitch</cp:lastModifiedBy>
  <cp:revision>1</cp:revision>
  <dcterms:created xsi:type="dcterms:W3CDTF">2016-03-06T23:22:00Z</dcterms:created>
  <dcterms:modified xsi:type="dcterms:W3CDTF">2016-03-06T23:24:00Z</dcterms:modified>
</cp:coreProperties>
</file>