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D5" w:rsidRPr="003D6933" w:rsidRDefault="00744BD5" w:rsidP="00A239B0">
      <w:pPr>
        <w:jc w:val="center"/>
        <w:rPr>
          <w:rFonts w:ascii="Arial" w:hAnsi="Arial" w:cs="Arial"/>
          <w:b/>
          <w:sz w:val="28"/>
          <w:szCs w:val="28"/>
        </w:rPr>
      </w:pPr>
      <w:bookmarkStart w:id="0" w:name="_GoBack"/>
      <w:r w:rsidRPr="003D6933">
        <w:rPr>
          <w:rFonts w:ascii="Arial" w:hAnsi="Arial" w:cs="Arial"/>
          <w:b/>
          <w:sz w:val="28"/>
          <w:szCs w:val="28"/>
        </w:rPr>
        <w:t>Stage 1 Music</w:t>
      </w:r>
    </w:p>
    <w:p w:rsidR="00744BD5" w:rsidRPr="003D6933" w:rsidRDefault="00744BD5" w:rsidP="00A239B0">
      <w:pPr>
        <w:jc w:val="center"/>
        <w:rPr>
          <w:rFonts w:ascii="Arial" w:hAnsi="Arial" w:cs="Arial"/>
          <w:b/>
          <w:szCs w:val="24"/>
        </w:rPr>
      </w:pPr>
      <w:r w:rsidRPr="003D6933">
        <w:rPr>
          <w:rFonts w:ascii="Arial" w:hAnsi="Arial" w:cs="Arial"/>
          <w:b/>
          <w:szCs w:val="24"/>
        </w:rPr>
        <w:t>Assessment Type 2: Musical Literacy</w:t>
      </w:r>
    </w:p>
    <w:p w:rsidR="00E502F5" w:rsidRPr="003D6933" w:rsidRDefault="00AE5060" w:rsidP="00A239B0">
      <w:pPr>
        <w:jc w:val="center"/>
        <w:rPr>
          <w:rFonts w:ascii="Arial" w:hAnsi="Arial" w:cs="Arial"/>
          <w:b/>
          <w:szCs w:val="24"/>
        </w:rPr>
      </w:pPr>
      <w:r w:rsidRPr="003D6933">
        <w:rPr>
          <w:rFonts w:ascii="Arial" w:hAnsi="Arial" w:cs="Arial"/>
          <w:b/>
          <w:szCs w:val="24"/>
        </w:rPr>
        <w:t>Task</w:t>
      </w:r>
      <w:r w:rsidR="00744BD5" w:rsidRPr="003D6933">
        <w:rPr>
          <w:rFonts w:ascii="Arial" w:hAnsi="Arial" w:cs="Arial"/>
          <w:b/>
          <w:szCs w:val="24"/>
        </w:rPr>
        <w:t xml:space="preserve">: </w:t>
      </w:r>
      <w:r w:rsidR="00E502F5" w:rsidRPr="003D6933">
        <w:rPr>
          <w:rFonts w:ascii="Arial" w:hAnsi="Arial" w:cs="Arial"/>
          <w:b/>
          <w:szCs w:val="24"/>
        </w:rPr>
        <w:t xml:space="preserve">Sonata Form </w:t>
      </w:r>
    </w:p>
    <w:p w:rsidR="003D6933" w:rsidRPr="003D6933" w:rsidRDefault="003D6933" w:rsidP="00E502F5">
      <w:pPr>
        <w:rPr>
          <w:rFonts w:ascii="Arial" w:hAnsi="Arial" w:cs="Arial"/>
          <w:b/>
          <w:sz w:val="22"/>
        </w:rPr>
      </w:pPr>
      <w:r w:rsidRPr="003D6933">
        <w:rPr>
          <w:rFonts w:ascii="Arial" w:hAnsi="Arial" w:cs="Arial"/>
          <w:b/>
          <w:sz w:val="22"/>
        </w:rPr>
        <w:t>Purpose</w:t>
      </w:r>
    </w:p>
    <w:p w:rsidR="003D6933" w:rsidRDefault="003D6933" w:rsidP="003D6933">
      <w:pPr>
        <w:numPr>
          <w:ilvl w:val="0"/>
          <w:numId w:val="4"/>
        </w:numPr>
        <w:rPr>
          <w:rFonts w:ascii="Arial" w:hAnsi="Arial" w:cs="Arial"/>
          <w:sz w:val="22"/>
        </w:rPr>
      </w:pPr>
      <w:r>
        <w:rPr>
          <w:rFonts w:ascii="Arial" w:hAnsi="Arial" w:cs="Arial"/>
          <w:sz w:val="22"/>
        </w:rPr>
        <w:t>to demonstrate your understanding of sonata form</w:t>
      </w:r>
    </w:p>
    <w:p w:rsidR="003D6933" w:rsidRDefault="003D6933" w:rsidP="003D6933">
      <w:pPr>
        <w:numPr>
          <w:ilvl w:val="0"/>
          <w:numId w:val="4"/>
        </w:numPr>
        <w:rPr>
          <w:rFonts w:ascii="Arial" w:hAnsi="Arial" w:cs="Arial"/>
          <w:sz w:val="22"/>
        </w:rPr>
      </w:pPr>
      <w:r>
        <w:rPr>
          <w:rFonts w:ascii="Arial" w:hAnsi="Arial" w:cs="Arial"/>
          <w:sz w:val="22"/>
        </w:rPr>
        <w:t>to apply your skills in score reading and analyse the</w:t>
      </w:r>
      <w:r w:rsidR="00B31178">
        <w:rPr>
          <w:rFonts w:ascii="Arial" w:hAnsi="Arial" w:cs="Arial"/>
          <w:sz w:val="22"/>
        </w:rPr>
        <w:t xml:space="preserve"> style, structure, and musical elements in a piece of music in sonata form</w:t>
      </w:r>
    </w:p>
    <w:p w:rsidR="003D6933" w:rsidRPr="003D6933" w:rsidRDefault="003D6933" w:rsidP="00E502F5">
      <w:pPr>
        <w:rPr>
          <w:rFonts w:ascii="Arial" w:hAnsi="Arial" w:cs="Arial"/>
          <w:sz w:val="22"/>
        </w:rPr>
      </w:pPr>
      <w:r>
        <w:rPr>
          <w:rFonts w:ascii="Arial" w:hAnsi="Arial" w:cs="Arial"/>
          <w:sz w:val="22"/>
        </w:rPr>
        <w:t>Read the following information:</w:t>
      </w:r>
    </w:p>
    <w:p w:rsidR="00E502F5" w:rsidRPr="003D6933" w:rsidRDefault="00E502F5" w:rsidP="003D6933">
      <w:pPr>
        <w:ind w:left="360"/>
        <w:rPr>
          <w:rFonts w:ascii="Arial" w:hAnsi="Arial" w:cs="Arial"/>
          <w:sz w:val="22"/>
        </w:rPr>
      </w:pPr>
      <w:r w:rsidRPr="00BA5AA6">
        <w:rPr>
          <w:rFonts w:ascii="Arial Narrow" w:hAnsi="Arial Narrow" w:cs="Arial"/>
          <w:b/>
          <w:sz w:val="22"/>
        </w:rPr>
        <w:t>Sonata Form:</w:t>
      </w:r>
      <w:r w:rsidRPr="003D6933">
        <w:rPr>
          <w:rFonts w:ascii="Arial" w:hAnsi="Arial" w:cs="Arial"/>
          <w:b/>
          <w:sz w:val="22"/>
        </w:rPr>
        <w:t xml:space="preserve"> </w:t>
      </w:r>
      <w:r w:rsidR="00054C9E">
        <w:rPr>
          <w:rFonts w:ascii="Arial" w:hAnsi="Arial" w:cs="Arial"/>
          <w:sz w:val="22"/>
        </w:rPr>
        <w:t>an</w:t>
      </w:r>
      <w:r w:rsidRPr="003D6933">
        <w:rPr>
          <w:rFonts w:ascii="Arial" w:hAnsi="Arial" w:cs="Arial"/>
          <w:sz w:val="22"/>
        </w:rPr>
        <w:t xml:space="preserve"> innovation of the </w:t>
      </w:r>
      <w:r w:rsidR="002C29A6">
        <w:rPr>
          <w:rFonts w:ascii="Arial" w:hAnsi="Arial" w:cs="Arial"/>
          <w:sz w:val="22"/>
        </w:rPr>
        <w:t>c</w:t>
      </w:r>
      <w:r w:rsidR="00B84FFA" w:rsidRPr="003D6933">
        <w:rPr>
          <w:rFonts w:ascii="Arial" w:hAnsi="Arial" w:cs="Arial"/>
          <w:sz w:val="22"/>
        </w:rPr>
        <w:t xml:space="preserve">lassical </w:t>
      </w:r>
      <w:r w:rsidRPr="003D6933">
        <w:rPr>
          <w:rFonts w:ascii="Arial" w:hAnsi="Arial" w:cs="Arial"/>
          <w:sz w:val="22"/>
        </w:rPr>
        <w:t>period. The form of the sonata movement is as follows:-</w:t>
      </w:r>
    </w:p>
    <w:p w:rsidR="00E502F5" w:rsidRPr="003D6933" w:rsidRDefault="00E502F5" w:rsidP="002C29A6">
      <w:pPr>
        <w:pStyle w:val="ColorfulList-Accent1"/>
        <w:numPr>
          <w:ilvl w:val="0"/>
          <w:numId w:val="2"/>
        </w:numPr>
        <w:spacing w:before="60" w:after="60" w:line="240" w:lineRule="auto"/>
        <w:contextualSpacing w:val="0"/>
        <w:rPr>
          <w:rFonts w:ascii="Arial" w:hAnsi="Arial" w:cs="Arial"/>
        </w:rPr>
      </w:pPr>
      <w:r w:rsidRPr="003D6933">
        <w:rPr>
          <w:rFonts w:ascii="Arial" w:hAnsi="Arial" w:cs="Arial"/>
        </w:rPr>
        <w:t>A slow, impressive INTRODUCTION (often omitted)</w:t>
      </w:r>
      <w:r w:rsidR="00054C9E">
        <w:rPr>
          <w:rFonts w:ascii="Arial" w:hAnsi="Arial" w:cs="Arial"/>
        </w:rPr>
        <w:t xml:space="preserve">. </w:t>
      </w:r>
    </w:p>
    <w:p w:rsidR="00E502F5" w:rsidRPr="003D6933" w:rsidRDefault="00B84FFA" w:rsidP="002C29A6">
      <w:pPr>
        <w:pStyle w:val="ColorfulList-Accent1"/>
        <w:spacing w:before="60" w:after="60" w:line="240" w:lineRule="auto"/>
        <w:contextualSpacing w:val="0"/>
        <w:rPr>
          <w:rFonts w:ascii="Arial" w:hAnsi="Arial" w:cs="Arial"/>
        </w:rPr>
      </w:pPr>
      <w:r w:rsidRPr="003D6933">
        <w:rPr>
          <w:rFonts w:ascii="Arial" w:hAnsi="Arial" w:cs="Arial"/>
        </w:rPr>
        <w:t>t</w:t>
      </w:r>
      <w:r w:rsidR="00E502F5" w:rsidRPr="003D6933">
        <w:rPr>
          <w:rFonts w:ascii="Arial" w:hAnsi="Arial" w:cs="Arial"/>
        </w:rPr>
        <w:t>he EXPOSITION, in which two m</w:t>
      </w:r>
      <w:r w:rsidR="00054C9E">
        <w:rPr>
          <w:rFonts w:ascii="Arial" w:hAnsi="Arial" w:cs="Arial"/>
        </w:rPr>
        <w:t>usical subjects (</w:t>
      </w:r>
      <w:r w:rsidR="00E502F5" w:rsidRPr="003D6933">
        <w:rPr>
          <w:rFonts w:ascii="Arial" w:hAnsi="Arial" w:cs="Arial"/>
        </w:rPr>
        <w:t>themes) are used. A first vigorous subject, often using a strong rhythmic m</w:t>
      </w:r>
      <w:r w:rsidR="00B31178">
        <w:rPr>
          <w:rFonts w:ascii="Arial" w:hAnsi="Arial" w:cs="Arial"/>
        </w:rPr>
        <w:t>otif and notes of the tonic and/</w:t>
      </w:r>
      <w:r w:rsidR="00E502F5" w:rsidRPr="003D6933">
        <w:rPr>
          <w:rFonts w:ascii="Arial" w:hAnsi="Arial" w:cs="Arial"/>
        </w:rPr>
        <w:t>or dominant triads</w:t>
      </w:r>
    </w:p>
    <w:p w:rsidR="00E502F5" w:rsidRPr="003D6933" w:rsidRDefault="00E502F5" w:rsidP="002C29A6">
      <w:pPr>
        <w:pStyle w:val="ColorfulList-Accent1"/>
        <w:spacing w:before="60" w:after="60" w:line="240" w:lineRule="auto"/>
        <w:contextualSpacing w:val="0"/>
        <w:rPr>
          <w:rFonts w:ascii="Arial" w:hAnsi="Arial" w:cs="Arial"/>
        </w:rPr>
      </w:pPr>
      <w:r w:rsidRPr="003D6933">
        <w:rPr>
          <w:rFonts w:ascii="Arial" w:hAnsi="Arial" w:cs="Arial"/>
        </w:rPr>
        <w:t>A second, more lyrical subject in a related key</w:t>
      </w:r>
    </w:p>
    <w:p w:rsidR="00E502F5" w:rsidRPr="003D6933" w:rsidRDefault="00E502F5" w:rsidP="002C29A6">
      <w:pPr>
        <w:pStyle w:val="ColorfulList-Accent1"/>
        <w:numPr>
          <w:ilvl w:val="0"/>
          <w:numId w:val="1"/>
        </w:numPr>
        <w:spacing w:before="60" w:after="60" w:line="240" w:lineRule="auto"/>
        <w:contextualSpacing w:val="0"/>
        <w:rPr>
          <w:rFonts w:ascii="Arial" w:hAnsi="Arial" w:cs="Arial"/>
        </w:rPr>
      </w:pPr>
      <w:r w:rsidRPr="003D6933">
        <w:rPr>
          <w:rFonts w:ascii="Arial" w:hAnsi="Arial" w:cs="Arial"/>
        </w:rPr>
        <w:t>The DEVEL</w:t>
      </w:r>
      <w:r w:rsidR="00054C9E">
        <w:rPr>
          <w:rFonts w:ascii="Arial" w:hAnsi="Arial" w:cs="Arial"/>
        </w:rPr>
        <w:t xml:space="preserve">OPMENT, in which one (occasionally </w:t>
      </w:r>
      <w:r w:rsidRPr="003D6933">
        <w:rPr>
          <w:rFonts w:ascii="Arial" w:hAnsi="Arial" w:cs="Arial"/>
        </w:rPr>
        <w:t>two) of the subjects is developed</w:t>
      </w:r>
    </w:p>
    <w:p w:rsidR="00E502F5" w:rsidRPr="003D6933" w:rsidRDefault="00E502F5" w:rsidP="002C29A6">
      <w:pPr>
        <w:pStyle w:val="ColorfulList-Accent1"/>
        <w:numPr>
          <w:ilvl w:val="0"/>
          <w:numId w:val="1"/>
        </w:numPr>
        <w:spacing w:before="60" w:after="60" w:line="240" w:lineRule="auto"/>
        <w:contextualSpacing w:val="0"/>
        <w:rPr>
          <w:rFonts w:ascii="Arial" w:hAnsi="Arial" w:cs="Arial"/>
        </w:rPr>
      </w:pPr>
      <w:r w:rsidRPr="003D6933">
        <w:rPr>
          <w:rFonts w:ascii="Arial" w:hAnsi="Arial" w:cs="Arial"/>
        </w:rPr>
        <w:t xml:space="preserve">The RECAPITULATION, in which the original two subjects are repeated. The </w:t>
      </w:r>
      <w:r w:rsidRPr="003D6933">
        <w:rPr>
          <w:rFonts w:ascii="Arial" w:hAnsi="Arial" w:cs="Arial"/>
          <w:b/>
          <w:i/>
        </w:rPr>
        <w:t xml:space="preserve">difference </w:t>
      </w:r>
      <w:r w:rsidRPr="003D6933">
        <w:rPr>
          <w:rFonts w:ascii="Arial" w:hAnsi="Arial" w:cs="Arial"/>
        </w:rPr>
        <w:t xml:space="preserve">between the exposition and the recapitulation is that the </w:t>
      </w:r>
      <w:r w:rsidRPr="003D6933">
        <w:rPr>
          <w:rFonts w:ascii="Arial" w:hAnsi="Arial" w:cs="Arial"/>
          <w:b/>
        </w:rPr>
        <w:t>exposition</w:t>
      </w:r>
      <w:r w:rsidRPr="003D6933">
        <w:rPr>
          <w:rFonts w:ascii="Arial" w:hAnsi="Arial" w:cs="Arial"/>
        </w:rPr>
        <w:t xml:space="preserve"> </w:t>
      </w:r>
      <w:r w:rsidR="00054C9E">
        <w:rPr>
          <w:rFonts w:ascii="Arial" w:hAnsi="Arial" w:cs="Arial"/>
        </w:rPr>
        <w:t>modulates to</w:t>
      </w:r>
      <w:r w:rsidRPr="003D6933">
        <w:rPr>
          <w:rFonts w:ascii="Arial" w:hAnsi="Arial" w:cs="Arial"/>
        </w:rPr>
        <w:t xml:space="preserve"> the </w:t>
      </w:r>
      <w:r w:rsidRPr="003D6933">
        <w:rPr>
          <w:rFonts w:ascii="Arial" w:hAnsi="Arial" w:cs="Arial"/>
          <w:b/>
        </w:rPr>
        <w:t xml:space="preserve">dominant key </w:t>
      </w:r>
      <w:r w:rsidRPr="003D6933">
        <w:rPr>
          <w:rFonts w:ascii="Arial" w:hAnsi="Arial" w:cs="Arial"/>
        </w:rPr>
        <w:t>or another related key</w:t>
      </w:r>
      <w:r w:rsidRPr="003D6933">
        <w:rPr>
          <w:rFonts w:ascii="Arial" w:hAnsi="Arial" w:cs="Arial"/>
          <w:b/>
        </w:rPr>
        <w:t xml:space="preserve"> </w:t>
      </w:r>
      <w:r w:rsidRPr="003D6933">
        <w:rPr>
          <w:rFonts w:ascii="Arial" w:hAnsi="Arial" w:cs="Arial"/>
        </w:rPr>
        <w:t>while the</w:t>
      </w:r>
      <w:r w:rsidRPr="003D6933">
        <w:rPr>
          <w:rFonts w:ascii="Arial" w:hAnsi="Arial" w:cs="Arial"/>
          <w:b/>
        </w:rPr>
        <w:t xml:space="preserve"> recapitulation </w:t>
      </w:r>
      <w:r w:rsidRPr="003D6933">
        <w:rPr>
          <w:rFonts w:ascii="Arial" w:hAnsi="Arial" w:cs="Arial"/>
        </w:rPr>
        <w:t xml:space="preserve">always </w:t>
      </w:r>
      <w:r w:rsidR="00054C9E">
        <w:rPr>
          <w:rFonts w:ascii="Arial" w:hAnsi="Arial" w:cs="Arial"/>
        </w:rPr>
        <w:t>modulates back to</w:t>
      </w:r>
      <w:r w:rsidRPr="003D6933">
        <w:rPr>
          <w:rFonts w:ascii="Arial" w:hAnsi="Arial" w:cs="Arial"/>
        </w:rPr>
        <w:t xml:space="preserve"> the</w:t>
      </w:r>
      <w:r w:rsidRPr="003D6933">
        <w:rPr>
          <w:rFonts w:ascii="Arial" w:hAnsi="Arial" w:cs="Arial"/>
          <w:b/>
        </w:rPr>
        <w:t xml:space="preserve"> tonic </w:t>
      </w:r>
      <w:r w:rsidR="00054C9E">
        <w:rPr>
          <w:rFonts w:ascii="Arial" w:hAnsi="Arial" w:cs="Arial"/>
          <w:b/>
        </w:rPr>
        <w:t xml:space="preserve">key </w:t>
      </w:r>
      <w:r w:rsidRPr="003D6933">
        <w:rPr>
          <w:rFonts w:ascii="Arial" w:hAnsi="Arial" w:cs="Arial"/>
        </w:rPr>
        <w:t>to finish off the movement.</w:t>
      </w:r>
    </w:p>
    <w:p w:rsidR="00E502F5" w:rsidRPr="003D6933" w:rsidRDefault="00E502F5" w:rsidP="002C29A6">
      <w:pPr>
        <w:pStyle w:val="ColorfulList-Accent1"/>
        <w:numPr>
          <w:ilvl w:val="0"/>
          <w:numId w:val="1"/>
        </w:numPr>
        <w:spacing w:before="60" w:after="60" w:line="240" w:lineRule="auto"/>
        <w:ind w:left="786" w:hanging="426"/>
        <w:contextualSpacing w:val="0"/>
        <w:rPr>
          <w:rFonts w:ascii="Arial" w:hAnsi="Arial" w:cs="Arial"/>
        </w:rPr>
      </w:pPr>
      <w:r w:rsidRPr="003D6933">
        <w:rPr>
          <w:rFonts w:ascii="Arial" w:hAnsi="Arial" w:cs="Arial"/>
        </w:rPr>
        <w:t>The CO</w:t>
      </w:r>
      <w:r w:rsidR="00B84FFA" w:rsidRPr="003D6933">
        <w:rPr>
          <w:rFonts w:ascii="Arial" w:hAnsi="Arial" w:cs="Arial"/>
        </w:rPr>
        <w:t>DA, which means ‘tail’ ending, a</w:t>
      </w:r>
      <w:r w:rsidRPr="003D6933">
        <w:rPr>
          <w:rFonts w:ascii="Arial" w:hAnsi="Arial" w:cs="Arial"/>
        </w:rPr>
        <w:t xml:space="preserve"> neat finish to the movement.</w:t>
      </w:r>
    </w:p>
    <w:p w:rsidR="00E502F5" w:rsidRPr="00BA5AA6" w:rsidRDefault="00E502F5" w:rsidP="002C29A6">
      <w:pPr>
        <w:spacing w:before="360" w:after="240" w:line="240" w:lineRule="auto"/>
        <w:ind w:left="357"/>
        <w:rPr>
          <w:rFonts w:ascii="Arial Narrow" w:hAnsi="Arial Narrow" w:cs="Arial"/>
          <w:b/>
          <w:sz w:val="22"/>
        </w:rPr>
      </w:pPr>
      <w:r w:rsidRPr="00BA5AA6">
        <w:rPr>
          <w:rFonts w:ascii="Arial Narrow" w:hAnsi="Arial Narrow" w:cs="Arial"/>
          <w:b/>
          <w:sz w:val="22"/>
        </w:rPr>
        <w:t>Mozart’s Symphony No. 40 in G minor K. 550, 1</w:t>
      </w:r>
      <w:r w:rsidRPr="00BA5AA6">
        <w:rPr>
          <w:rFonts w:ascii="Arial Narrow" w:hAnsi="Arial Narrow" w:cs="Arial"/>
          <w:b/>
          <w:sz w:val="22"/>
          <w:vertAlign w:val="superscript"/>
        </w:rPr>
        <w:t>st</w:t>
      </w:r>
      <w:r w:rsidRPr="00BA5AA6">
        <w:rPr>
          <w:rFonts w:ascii="Arial Narrow" w:hAnsi="Arial Narrow" w:cs="Arial"/>
          <w:b/>
          <w:sz w:val="22"/>
        </w:rPr>
        <w:t xml:space="preserve"> movement</w:t>
      </w:r>
    </w:p>
    <w:p w:rsidR="00E502F5" w:rsidRPr="003D6933" w:rsidRDefault="00E502F5" w:rsidP="002C29A6">
      <w:pPr>
        <w:spacing w:before="240" w:after="240" w:line="240" w:lineRule="auto"/>
        <w:ind w:left="359"/>
        <w:rPr>
          <w:rFonts w:ascii="Arial" w:hAnsi="Arial" w:cs="Arial"/>
          <w:sz w:val="22"/>
        </w:rPr>
      </w:pPr>
      <w:r w:rsidRPr="003D6933">
        <w:rPr>
          <w:rFonts w:ascii="Arial" w:hAnsi="Arial" w:cs="Arial"/>
          <w:sz w:val="22"/>
        </w:rPr>
        <w:t xml:space="preserve">In the first movement of this symphony, there are two subjects, one in G minor and the other in Bb </w:t>
      </w:r>
      <w:r w:rsidR="00857AE3" w:rsidRPr="003D6933">
        <w:rPr>
          <w:rFonts w:ascii="Arial" w:hAnsi="Arial" w:cs="Arial"/>
          <w:sz w:val="22"/>
        </w:rPr>
        <w:t xml:space="preserve">major. The first subject is a beautifully curved melody in octaves. From bars 17-20 </w:t>
      </w:r>
      <w:r w:rsidR="00B84FFA" w:rsidRPr="003D6933">
        <w:rPr>
          <w:rFonts w:ascii="Arial" w:hAnsi="Arial" w:cs="Arial"/>
          <w:sz w:val="22"/>
        </w:rPr>
        <w:t>Mozart</w:t>
      </w:r>
      <w:r w:rsidR="00857AE3" w:rsidRPr="003D6933">
        <w:rPr>
          <w:rFonts w:ascii="Arial" w:hAnsi="Arial" w:cs="Arial"/>
          <w:sz w:val="22"/>
        </w:rPr>
        <w:t xml:space="preserve"> uses an extended cadence. The first subject ends at </w:t>
      </w:r>
      <w:r w:rsidR="00B84FFA" w:rsidRPr="003D6933">
        <w:rPr>
          <w:rFonts w:ascii="Arial" w:hAnsi="Arial" w:cs="Arial"/>
          <w:sz w:val="22"/>
        </w:rPr>
        <w:t xml:space="preserve">bar 43; </w:t>
      </w:r>
      <w:r w:rsidR="00857AE3" w:rsidRPr="003D6933">
        <w:rPr>
          <w:rFonts w:ascii="Arial" w:hAnsi="Arial" w:cs="Arial"/>
          <w:sz w:val="22"/>
        </w:rPr>
        <w:t xml:space="preserve">there is </w:t>
      </w:r>
      <w:r w:rsidR="00B84FFA" w:rsidRPr="003D6933">
        <w:rPr>
          <w:rFonts w:ascii="Arial" w:hAnsi="Arial" w:cs="Arial"/>
          <w:sz w:val="22"/>
        </w:rPr>
        <w:t xml:space="preserve">then </w:t>
      </w:r>
      <w:r w:rsidR="00857AE3" w:rsidRPr="003D6933">
        <w:rPr>
          <w:rFonts w:ascii="Arial" w:hAnsi="Arial" w:cs="Arial"/>
          <w:sz w:val="22"/>
        </w:rPr>
        <w:t>a silence of one bar. The second subject starts in Bb major (related major). There is interplay between</w:t>
      </w:r>
      <w:r w:rsidR="00B84FFA" w:rsidRPr="003D6933">
        <w:rPr>
          <w:rFonts w:ascii="Arial" w:hAnsi="Arial" w:cs="Arial"/>
          <w:sz w:val="22"/>
        </w:rPr>
        <w:t xml:space="preserve"> the woodwinds and strings. Bar</w:t>
      </w:r>
      <w:r w:rsidR="00857AE3" w:rsidRPr="003D6933">
        <w:rPr>
          <w:rFonts w:ascii="Arial" w:hAnsi="Arial" w:cs="Arial"/>
          <w:sz w:val="22"/>
        </w:rPr>
        <w:t xml:space="preserve"> 66 begins the closing section of the second subject. At bar 77 there is a long codetta. At bar 88 there is an extended cadence.</w:t>
      </w:r>
    </w:p>
    <w:p w:rsidR="00857AE3" w:rsidRPr="003D6933" w:rsidRDefault="00E502F5" w:rsidP="002C29A6">
      <w:pPr>
        <w:spacing w:before="240" w:after="240" w:line="240" w:lineRule="auto"/>
        <w:ind w:left="359"/>
        <w:rPr>
          <w:rFonts w:ascii="Arial" w:hAnsi="Arial" w:cs="Arial"/>
          <w:sz w:val="22"/>
        </w:rPr>
      </w:pPr>
      <w:r w:rsidRPr="003D6933">
        <w:rPr>
          <w:rFonts w:ascii="Arial" w:hAnsi="Arial" w:cs="Arial"/>
          <w:sz w:val="22"/>
        </w:rPr>
        <w:t xml:space="preserve"> In the development section, Mozart developed only the G minor theme</w:t>
      </w:r>
      <w:r w:rsidR="00857AE3" w:rsidRPr="003D6933">
        <w:rPr>
          <w:rFonts w:ascii="Arial" w:hAnsi="Arial" w:cs="Arial"/>
          <w:sz w:val="22"/>
        </w:rPr>
        <w:t>.</w:t>
      </w:r>
    </w:p>
    <w:p w:rsidR="00E502F5" w:rsidRPr="003D6933" w:rsidRDefault="00E502F5" w:rsidP="002C29A6">
      <w:pPr>
        <w:spacing w:before="240" w:after="240" w:line="240" w:lineRule="auto"/>
        <w:ind w:left="359"/>
        <w:rPr>
          <w:rFonts w:ascii="Arial" w:hAnsi="Arial" w:cs="Arial"/>
          <w:sz w:val="22"/>
        </w:rPr>
      </w:pPr>
      <w:r w:rsidRPr="003D6933">
        <w:rPr>
          <w:rFonts w:ascii="Arial" w:hAnsi="Arial" w:cs="Arial"/>
          <w:sz w:val="22"/>
        </w:rPr>
        <w:t xml:space="preserve">The two quavers and a crotchet figure at the outset of the first movement </w:t>
      </w:r>
      <w:r w:rsidR="00B31178">
        <w:rPr>
          <w:rFonts w:ascii="Arial" w:hAnsi="Arial" w:cs="Arial"/>
          <w:sz w:val="22"/>
        </w:rPr>
        <w:t xml:space="preserve">and </w:t>
      </w:r>
      <w:r w:rsidRPr="003D6933">
        <w:rPr>
          <w:rFonts w:ascii="Arial" w:hAnsi="Arial" w:cs="Arial"/>
          <w:sz w:val="22"/>
        </w:rPr>
        <w:t>is an important rhythmic motif used throughout. The Development is based entirely on the first subject, and modulation is constant throughout the fantasia-like development section. At bar 160, the woodwinds ‘herald’ the recapitulation in a beautifully elegant and smooth manner.</w:t>
      </w:r>
    </w:p>
    <w:p w:rsidR="00E502F5" w:rsidRPr="003D6933" w:rsidRDefault="00E502F5" w:rsidP="002C29A6">
      <w:pPr>
        <w:spacing w:before="240" w:after="240" w:line="240" w:lineRule="auto"/>
        <w:ind w:left="359"/>
        <w:rPr>
          <w:rFonts w:ascii="Arial" w:hAnsi="Arial" w:cs="Arial"/>
          <w:sz w:val="22"/>
        </w:rPr>
      </w:pPr>
      <w:r w:rsidRPr="003D6933">
        <w:rPr>
          <w:rFonts w:ascii="Arial" w:hAnsi="Arial" w:cs="Arial"/>
          <w:sz w:val="22"/>
        </w:rPr>
        <w:t xml:space="preserve">At bar 185 Ab is used as a pivot note that takes the recapitulation in a new direction, culminating in a dramatic coda to end the movement. </w:t>
      </w:r>
    </w:p>
    <w:p w:rsidR="00E502F5" w:rsidRPr="003D6933" w:rsidRDefault="00857AE3" w:rsidP="002C29A6">
      <w:pPr>
        <w:spacing w:before="240" w:after="240" w:line="240" w:lineRule="auto"/>
        <w:ind w:left="360"/>
        <w:rPr>
          <w:rFonts w:ascii="Arial" w:hAnsi="Arial" w:cs="Arial"/>
          <w:sz w:val="22"/>
        </w:rPr>
      </w:pPr>
      <w:r w:rsidRPr="003D6933">
        <w:rPr>
          <w:rFonts w:ascii="Arial" w:hAnsi="Arial" w:cs="Arial"/>
          <w:sz w:val="22"/>
        </w:rPr>
        <w:t>Mozart’s last three symphonies were all composed in 1788, a year of tremendous creative output for Mozart. This symphony K. 550 was originally scored without clarinets, which made it sound transparent in comparison to the revised version with clarinets that Mozart later added.</w:t>
      </w:r>
      <w:r w:rsidR="00546170" w:rsidRPr="003D6933">
        <w:rPr>
          <w:rFonts w:ascii="Arial" w:hAnsi="Arial" w:cs="Arial"/>
          <w:sz w:val="22"/>
        </w:rPr>
        <w:t xml:space="preserve"> Mozart was one of the first composers to incorporate clarinets in a symphony. This makes K. 550 a piece of orc</w:t>
      </w:r>
      <w:r w:rsidR="00B31178">
        <w:rPr>
          <w:rFonts w:ascii="Arial" w:hAnsi="Arial" w:cs="Arial"/>
          <w:sz w:val="22"/>
        </w:rPr>
        <w:t>hestration history</w:t>
      </w:r>
      <w:r w:rsidR="00546170" w:rsidRPr="003D6933">
        <w:rPr>
          <w:rFonts w:ascii="Arial" w:hAnsi="Arial" w:cs="Arial"/>
          <w:sz w:val="22"/>
        </w:rPr>
        <w:t>.</w:t>
      </w:r>
    </w:p>
    <w:p w:rsidR="00857AE3" w:rsidRPr="003D6933" w:rsidRDefault="00857AE3" w:rsidP="002C29A6">
      <w:pPr>
        <w:spacing w:before="240" w:after="240" w:line="240" w:lineRule="auto"/>
        <w:ind w:left="360"/>
        <w:rPr>
          <w:rFonts w:ascii="Arial" w:hAnsi="Arial" w:cs="Arial"/>
          <w:sz w:val="22"/>
        </w:rPr>
      </w:pPr>
      <w:r w:rsidRPr="003D6933">
        <w:rPr>
          <w:rFonts w:ascii="Arial" w:hAnsi="Arial" w:cs="Arial"/>
          <w:sz w:val="22"/>
        </w:rPr>
        <w:t>The horns are pitched in two different keys, B</w:t>
      </w:r>
      <w:r w:rsidR="00546170" w:rsidRPr="003D6933">
        <w:rPr>
          <w:rFonts w:ascii="Arial" w:hAnsi="Arial" w:cs="Arial"/>
          <w:sz w:val="22"/>
        </w:rPr>
        <w:t>b</w:t>
      </w:r>
      <w:r w:rsidRPr="003D6933">
        <w:rPr>
          <w:rFonts w:ascii="Arial" w:hAnsi="Arial" w:cs="Arial"/>
          <w:sz w:val="22"/>
        </w:rPr>
        <w:t xml:space="preserve"> and G. This is quite unusual for the late 18</w:t>
      </w:r>
      <w:r w:rsidRPr="003D6933">
        <w:rPr>
          <w:rFonts w:ascii="Arial" w:hAnsi="Arial" w:cs="Arial"/>
          <w:sz w:val="22"/>
          <w:vertAlign w:val="superscript"/>
        </w:rPr>
        <w:t>th</w:t>
      </w:r>
      <w:r w:rsidRPr="003D6933">
        <w:rPr>
          <w:rFonts w:ascii="Arial" w:hAnsi="Arial" w:cs="Arial"/>
          <w:sz w:val="22"/>
        </w:rPr>
        <w:t xml:space="preserve"> century. </w:t>
      </w:r>
    </w:p>
    <w:p w:rsidR="00857AE3" w:rsidRPr="003D6933" w:rsidRDefault="00857AE3" w:rsidP="002C29A6">
      <w:pPr>
        <w:spacing w:before="240" w:after="240" w:line="240" w:lineRule="auto"/>
        <w:ind w:left="360"/>
        <w:rPr>
          <w:rFonts w:ascii="Arial" w:hAnsi="Arial" w:cs="Arial"/>
          <w:sz w:val="22"/>
        </w:rPr>
      </w:pPr>
      <w:r w:rsidRPr="003D6933">
        <w:rPr>
          <w:rFonts w:ascii="Arial" w:hAnsi="Arial" w:cs="Arial"/>
          <w:sz w:val="22"/>
        </w:rPr>
        <w:lastRenderedPageBreak/>
        <w:t xml:space="preserve">The main theme is quite noticeably longer than most of Mozart’s themes, and use of chromaticism is a feature. </w:t>
      </w:r>
    </w:p>
    <w:p w:rsidR="00220ED4" w:rsidRPr="002C29A6" w:rsidRDefault="00857AE3" w:rsidP="002C29A6">
      <w:pPr>
        <w:spacing w:before="240" w:after="240" w:line="240" w:lineRule="auto"/>
        <w:ind w:left="360"/>
        <w:rPr>
          <w:rFonts w:ascii="Arial" w:hAnsi="Arial" w:cs="Arial"/>
          <w:sz w:val="22"/>
        </w:rPr>
      </w:pPr>
      <w:r w:rsidRPr="003D6933">
        <w:rPr>
          <w:rFonts w:ascii="Arial" w:hAnsi="Arial" w:cs="Arial"/>
          <w:sz w:val="22"/>
        </w:rPr>
        <w:t>The recapitulation adds new thematic material (bars 198-210) but it is based around the bridge material</w:t>
      </w:r>
      <w:r w:rsidR="00FD7FE1" w:rsidRPr="003D6933">
        <w:rPr>
          <w:rFonts w:ascii="Arial" w:hAnsi="Arial" w:cs="Arial"/>
          <w:sz w:val="22"/>
        </w:rPr>
        <w:t xml:space="preserve"> in the exposition.</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984"/>
        <w:gridCol w:w="2977"/>
      </w:tblGrid>
      <w:tr w:rsidR="00B84FFA" w:rsidRPr="00BA5AA6" w:rsidTr="00330F28">
        <w:trPr>
          <w:trHeight w:val="416"/>
        </w:trPr>
        <w:tc>
          <w:tcPr>
            <w:tcW w:w="2835" w:type="dxa"/>
            <w:shd w:val="clear" w:color="auto" w:fill="F2F2F2"/>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Section</w:t>
            </w:r>
          </w:p>
        </w:tc>
        <w:tc>
          <w:tcPr>
            <w:tcW w:w="1984" w:type="dxa"/>
            <w:shd w:val="clear" w:color="auto" w:fill="F2F2F2"/>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Material</w:t>
            </w:r>
          </w:p>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(letters indicate themes)</w:t>
            </w:r>
          </w:p>
        </w:tc>
        <w:tc>
          <w:tcPr>
            <w:tcW w:w="2977" w:type="dxa"/>
            <w:shd w:val="clear" w:color="auto" w:fill="F2F2F2"/>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Key</w:t>
            </w:r>
          </w:p>
        </w:tc>
      </w:tr>
      <w:tr w:rsidR="00B84FFA" w:rsidRPr="00BA5AA6" w:rsidTr="00BA5AA6">
        <w:trPr>
          <w:trHeight w:val="306"/>
        </w:trPr>
        <w:tc>
          <w:tcPr>
            <w:tcW w:w="2835"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Exposition</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p>
        </w:tc>
      </w:tr>
      <w:tr w:rsidR="00B84FFA" w:rsidRPr="00BA5AA6" w:rsidTr="00EE2991">
        <w:trPr>
          <w:trHeight w:val="388"/>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Main Theme – 1</w:t>
            </w:r>
            <w:r w:rsidRPr="00BA5AA6">
              <w:rPr>
                <w:rFonts w:ascii="Arial" w:hAnsi="Arial" w:cs="Arial"/>
                <w:sz w:val="20"/>
                <w:szCs w:val="20"/>
                <w:vertAlign w:val="superscript"/>
              </w:rPr>
              <w:t>st</w:t>
            </w:r>
            <w:r w:rsidRPr="00BA5AA6">
              <w:rPr>
                <w:rFonts w:ascii="Arial" w:hAnsi="Arial" w:cs="Arial"/>
                <w:sz w:val="20"/>
                <w:szCs w:val="20"/>
              </w:rPr>
              <w:t xml:space="preserve"> subject</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a</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w:t>
            </w:r>
          </w:p>
        </w:tc>
      </w:tr>
      <w:tr w:rsidR="00B84FFA" w:rsidRPr="00BA5AA6" w:rsidTr="00BA5AA6">
        <w:trPr>
          <w:trHeight w:val="306"/>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Bridge</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a  b  c</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 to Bb Major</w:t>
            </w:r>
          </w:p>
        </w:tc>
      </w:tr>
      <w:tr w:rsidR="00B84FFA" w:rsidRPr="00BA5AA6" w:rsidTr="00BA5AA6">
        <w:trPr>
          <w:trHeight w:val="581"/>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Secondary Theme – 2</w:t>
            </w:r>
            <w:r w:rsidRPr="00BA5AA6">
              <w:rPr>
                <w:rFonts w:ascii="Arial" w:hAnsi="Arial" w:cs="Arial"/>
                <w:sz w:val="20"/>
                <w:szCs w:val="20"/>
                <w:vertAlign w:val="superscript"/>
              </w:rPr>
              <w:t>nd</w:t>
            </w:r>
            <w:r w:rsidRPr="00BA5AA6">
              <w:rPr>
                <w:rFonts w:ascii="Arial" w:hAnsi="Arial" w:cs="Arial"/>
                <w:sz w:val="20"/>
                <w:szCs w:val="20"/>
              </w:rPr>
              <w:t xml:space="preserve"> subject</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d</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Bb Major</w:t>
            </w:r>
          </w:p>
        </w:tc>
      </w:tr>
      <w:tr w:rsidR="00B84FFA" w:rsidRPr="00BA5AA6" w:rsidTr="00EE2991">
        <w:trPr>
          <w:trHeight w:val="365"/>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Closing Theme</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 xml:space="preserve">e  a </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Bb Major</w:t>
            </w:r>
          </w:p>
        </w:tc>
      </w:tr>
      <w:tr w:rsidR="00B84FFA" w:rsidRPr="00BA5AA6" w:rsidTr="00EE2991">
        <w:trPr>
          <w:trHeight w:val="554"/>
        </w:trPr>
        <w:tc>
          <w:tcPr>
            <w:tcW w:w="2835"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Development</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a</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F# minor, several other keys and back to G minor</w:t>
            </w:r>
          </w:p>
        </w:tc>
      </w:tr>
      <w:tr w:rsidR="00B84FFA" w:rsidRPr="00BA5AA6" w:rsidTr="00EE2991">
        <w:trPr>
          <w:trHeight w:val="421"/>
        </w:trPr>
        <w:tc>
          <w:tcPr>
            <w:tcW w:w="2835"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Recapitulation</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p>
        </w:tc>
      </w:tr>
      <w:tr w:rsidR="00B84FFA" w:rsidRPr="00BA5AA6" w:rsidTr="00EE2991">
        <w:trPr>
          <w:trHeight w:val="413"/>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Main Theme</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a</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w:t>
            </w:r>
          </w:p>
        </w:tc>
      </w:tr>
      <w:tr w:rsidR="00B84FFA" w:rsidRPr="00BA5AA6" w:rsidTr="00EE2991">
        <w:trPr>
          <w:trHeight w:val="419"/>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Bridge</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 xml:space="preserve">a  b  c </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  Eb Major, G minor</w:t>
            </w:r>
          </w:p>
        </w:tc>
      </w:tr>
      <w:tr w:rsidR="00B84FFA" w:rsidRPr="00BA5AA6" w:rsidTr="00EE2991">
        <w:trPr>
          <w:trHeight w:val="411"/>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Secondary Theme</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d</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w:t>
            </w:r>
          </w:p>
        </w:tc>
      </w:tr>
      <w:tr w:rsidR="00B84FFA" w:rsidRPr="00BA5AA6" w:rsidTr="00EE2991">
        <w:trPr>
          <w:trHeight w:val="387"/>
        </w:trPr>
        <w:tc>
          <w:tcPr>
            <w:tcW w:w="2835" w:type="dxa"/>
            <w:vAlign w:val="center"/>
          </w:tcPr>
          <w:p w:rsidR="00B84FFA" w:rsidRPr="00BA5AA6" w:rsidRDefault="00B84FFA" w:rsidP="002000BE">
            <w:pPr>
              <w:spacing w:after="0" w:line="240" w:lineRule="auto"/>
              <w:jc w:val="center"/>
              <w:rPr>
                <w:rFonts w:ascii="Arial" w:hAnsi="Arial" w:cs="Arial"/>
                <w:sz w:val="20"/>
                <w:szCs w:val="20"/>
              </w:rPr>
            </w:pPr>
            <w:r w:rsidRPr="00BA5AA6">
              <w:rPr>
                <w:rFonts w:ascii="Arial" w:hAnsi="Arial" w:cs="Arial"/>
                <w:sz w:val="20"/>
                <w:szCs w:val="20"/>
              </w:rPr>
              <w:t>Closing Theme and Coda</w:t>
            </w:r>
          </w:p>
        </w:tc>
        <w:tc>
          <w:tcPr>
            <w:tcW w:w="1984"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 xml:space="preserve">e  a </w:t>
            </w:r>
          </w:p>
        </w:tc>
        <w:tc>
          <w:tcPr>
            <w:tcW w:w="2977" w:type="dxa"/>
            <w:vAlign w:val="center"/>
          </w:tcPr>
          <w:p w:rsidR="00B84FFA" w:rsidRPr="00BA5AA6" w:rsidRDefault="00B84FFA" w:rsidP="002000BE">
            <w:pPr>
              <w:spacing w:after="0" w:line="240" w:lineRule="auto"/>
              <w:jc w:val="center"/>
              <w:rPr>
                <w:rFonts w:ascii="Arial" w:hAnsi="Arial" w:cs="Arial"/>
                <w:b/>
                <w:sz w:val="20"/>
                <w:szCs w:val="20"/>
              </w:rPr>
            </w:pPr>
            <w:r w:rsidRPr="00BA5AA6">
              <w:rPr>
                <w:rFonts w:ascii="Arial" w:hAnsi="Arial" w:cs="Arial"/>
                <w:b/>
                <w:sz w:val="20"/>
                <w:szCs w:val="20"/>
              </w:rPr>
              <w:t>G minor</w:t>
            </w:r>
          </w:p>
        </w:tc>
      </w:tr>
    </w:tbl>
    <w:p w:rsidR="00621836" w:rsidRDefault="00621836" w:rsidP="00621836">
      <w:pPr>
        <w:spacing w:before="60" w:after="60" w:line="240" w:lineRule="auto"/>
        <w:rPr>
          <w:rFonts w:ascii="Arial" w:hAnsi="Arial" w:cs="Arial"/>
          <w:sz w:val="22"/>
        </w:rPr>
      </w:pPr>
    </w:p>
    <w:p w:rsidR="00B31178" w:rsidRDefault="00B31178" w:rsidP="002C29A6">
      <w:pPr>
        <w:spacing w:before="240" w:after="240" w:line="240" w:lineRule="auto"/>
        <w:rPr>
          <w:rFonts w:ascii="Arial" w:hAnsi="Arial" w:cs="Arial"/>
          <w:b/>
          <w:sz w:val="22"/>
        </w:rPr>
      </w:pPr>
      <w:r>
        <w:rPr>
          <w:rFonts w:ascii="Arial" w:hAnsi="Arial" w:cs="Arial"/>
          <w:b/>
          <w:sz w:val="22"/>
        </w:rPr>
        <w:t>Assessment Description</w:t>
      </w:r>
    </w:p>
    <w:p w:rsidR="00621836" w:rsidRDefault="00DB5142" w:rsidP="002C29A6">
      <w:pPr>
        <w:spacing w:before="240" w:after="240" w:line="240" w:lineRule="auto"/>
        <w:rPr>
          <w:rFonts w:ascii="Arial" w:hAnsi="Arial" w:cs="Arial"/>
          <w:sz w:val="22"/>
        </w:rPr>
      </w:pPr>
      <w:r w:rsidRPr="003D6933">
        <w:rPr>
          <w:rFonts w:ascii="Arial" w:hAnsi="Arial" w:cs="Arial"/>
          <w:sz w:val="22"/>
        </w:rPr>
        <w:t xml:space="preserve">With Mozart’s first movement of K550 as an example, explore another movement or piece of music of your choosing, that has been composed using the structure of sonata form. </w:t>
      </w:r>
    </w:p>
    <w:p w:rsidR="00DB5142" w:rsidRPr="003D6933" w:rsidRDefault="00DB5142" w:rsidP="002C29A6">
      <w:pPr>
        <w:spacing w:before="240" w:after="240" w:line="240" w:lineRule="auto"/>
        <w:rPr>
          <w:rFonts w:ascii="Arial" w:hAnsi="Arial" w:cs="Arial"/>
          <w:sz w:val="22"/>
        </w:rPr>
      </w:pPr>
      <w:r w:rsidRPr="003D6933">
        <w:rPr>
          <w:rFonts w:ascii="Arial" w:hAnsi="Arial" w:cs="Arial"/>
          <w:sz w:val="22"/>
        </w:rPr>
        <w:t>Following the score of your chosen work, locate and mark the sections, thematic material and keys as demonstrated in the table above.</w:t>
      </w:r>
    </w:p>
    <w:p w:rsidR="002C29A6" w:rsidRPr="002C29A6" w:rsidRDefault="002C29A6" w:rsidP="002C29A6">
      <w:pPr>
        <w:spacing w:before="240" w:after="240" w:line="240" w:lineRule="auto"/>
        <w:rPr>
          <w:rFonts w:ascii="Arial" w:hAnsi="Arial" w:cs="Arial"/>
          <w:b/>
          <w:sz w:val="22"/>
        </w:rPr>
      </w:pPr>
      <w:r>
        <w:rPr>
          <w:rFonts w:ascii="Arial" w:hAnsi="Arial" w:cs="Arial"/>
          <w:b/>
          <w:sz w:val="22"/>
        </w:rPr>
        <w:t>Assessment conditions</w:t>
      </w:r>
    </w:p>
    <w:p w:rsidR="00DB5142" w:rsidRDefault="00DB5142" w:rsidP="002C29A6">
      <w:pPr>
        <w:spacing w:before="240" w:after="240" w:line="240" w:lineRule="auto"/>
        <w:rPr>
          <w:rFonts w:ascii="Arial" w:hAnsi="Arial" w:cs="Arial"/>
          <w:sz w:val="22"/>
        </w:rPr>
      </w:pPr>
      <w:r w:rsidRPr="003D6933">
        <w:rPr>
          <w:rFonts w:ascii="Arial" w:hAnsi="Arial" w:cs="Arial"/>
          <w:sz w:val="22"/>
        </w:rPr>
        <w:t xml:space="preserve">Write a report that </w:t>
      </w:r>
      <w:r w:rsidR="00621836">
        <w:rPr>
          <w:rFonts w:ascii="Arial" w:hAnsi="Arial" w:cs="Arial"/>
          <w:sz w:val="22"/>
        </w:rPr>
        <w:t>analyses how the composer has used</w:t>
      </w:r>
      <w:r w:rsidRPr="003D6933">
        <w:rPr>
          <w:rFonts w:ascii="Arial" w:hAnsi="Arial" w:cs="Arial"/>
          <w:sz w:val="22"/>
        </w:rPr>
        <w:t xml:space="preserve"> at least two musical elements in the creation of the piece of music. Your report should be a maximum of 650 words, or a maxi</w:t>
      </w:r>
      <w:r w:rsidR="00B31178">
        <w:rPr>
          <w:rFonts w:ascii="Arial" w:hAnsi="Arial" w:cs="Arial"/>
          <w:sz w:val="22"/>
        </w:rPr>
        <w:t>mum of 4 minutes as an oral and/</w:t>
      </w:r>
      <w:r w:rsidRPr="003D6933">
        <w:rPr>
          <w:rFonts w:ascii="Arial" w:hAnsi="Arial" w:cs="Arial"/>
          <w:sz w:val="22"/>
        </w:rPr>
        <w:t>or multimodal presentation.</w:t>
      </w:r>
      <w:r w:rsidR="00B31178">
        <w:rPr>
          <w:rFonts w:ascii="Arial" w:hAnsi="Arial" w:cs="Arial"/>
          <w:sz w:val="22"/>
        </w:rPr>
        <w:t xml:space="preserve">  Your annotated score should also be submitted for assessment.</w:t>
      </w:r>
    </w:p>
    <w:p w:rsidR="00787D65" w:rsidRDefault="00787D65" w:rsidP="002C29A6">
      <w:pPr>
        <w:spacing w:before="240" w:after="240" w:line="240" w:lineRule="auto"/>
        <w:rPr>
          <w:rFonts w:ascii="Arial" w:hAnsi="Arial" w:cs="Arial"/>
          <w:sz w:val="22"/>
        </w:rPr>
      </w:pPr>
      <w:r>
        <w:rPr>
          <w:rFonts w:ascii="Arial" w:hAnsi="Arial" w:cs="Arial"/>
          <w:sz w:val="22"/>
        </w:rPr>
        <w:t>The specific features being assessed are:</w:t>
      </w:r>
    </w:p>
    <w:p w:rsidR="00787D65" w:rsidRDefault="00787D65" w:rsidP="00B31178">
      <w:pPr>
        <w:spacing w:after="0" w:line="240" w:lineRule="auto"/>
        <w:rPr>
          <w:rFonts w:ascii="Arial" w:hAnsi="Arial" w:cs="Arial"/>
          <w:b/>
          <w:sz w:val="22"/>
        </w:rPr>
      </w:pPr>
      <w:r>
        <w:rPr>
          <w:rFonts w:ascii="Arial" w:hAnsi="Arial" w:cs="Arial"/>
          <w:b/>
          <w:sz w:val="22"/>
        </w:rPr>
        <w:t>Understanding Music</w:t>
      </w:r>
    </w:p>
    <w:p w:rsidR="00787D65" w:rsidRDefault="00787D65" w:rsidP="00B31178">
      <w:pPr>
        <w:numPr>
          <w:ilvl w:val="0"/>
          <w:numId w:val="5"/>
        </w:numPr>
        <w:spacing w:after="0" w:line="240" w:lineRule="auto"/>
        <w:rPr>
          <w:rFonts w:ascii="Arial" w:hAnsi="Arial" w:cs="Arial"/>
          <w:sz w:val="22"/>
        </w:rPr>
      </w:pPr>
      <w:r>
        <w:rPr>
          <w:rFonts w:ascii="Arial" w:hAnsi="Arial" w:cs="Arial"/>
          <w:sz w:val="22"/>
        </w:rPr>
        <w:t xml:space="preserve">UM1 – </w:t>
      </w:r>
      <w:r w:rsidR="00054C9E">
        <w:rPr>
          <w:rFonts w:ascii="Arial" w:hAnsi="Arial" w:cs="Arial"/>
          <w:sz w:val="22"/>
        </w:rPr>
        <w:t>development of knowledge and understanding of musical elements</w:t>
      </w:r>
    </w:p>
    <w:p w:rsidR="00787D65" w:rsidRDefault="00054C9E" w:rsidP="00B31178">
      <w:pPr>
        <w:numPr>
          <w:ilvl w:val="0"/>
          <w:numId w:val="5"/>
        </w:numPr>
        <w:spacing w:after="0" w:line="240" w:lineRule="auto"/>
        <w:rPr>
          <w:rFonts w:ascii="Arial" w:hAnsi="Arial" w:cs="Arial"/>
          <w:sz w:val="22"/>
        </w:rPr>
      </w:pPr>
      <w:r>
        <w:rPr>
          <w:rFonts w:ascii="Arial" w:hAnsi="Arial" w:cs="Arial"/>
          <w:sz w:val="22"/>
        </w:rPr>
        <w:t xml:space="preserve">UM2 – </w:t>
      </w:r>
      <w:r w:rsidR="00787D65">
        <w:rPr>
          <w:rFonts w:ascii="Arial" w:hAnsi="Arial" w:cs="Arial"/>
          <w:sz w:val="22"/>
        </w:rPr>
        <w:t>communication of musical ideas.</w:t>
      </w:r>
    </w:p>
    <w:p w:rsidR="00787D65" w:rsidRPr="00787D65" w:rsidRDefault="00787D65" w:rsidP="00B31178">
      <w:pPr>
        <w:spacing w:after="0" w:line="240" w:lineRule="auto"/>
        <w:rPr>
          <w:rFonts w:ascii="Arial" w:hAnsi="Arial" w:cs="Arial"/>
          <w:sz w:val="22"/>
        </w:rPr>
      </w:pPr>
    </w:p>
    <w:p w:rsidR="00787D65" w:rsidRDefault="00787D65" w:rsidP="00B31178">
      <w:pPr>
        <w:spacing w:after="0" w:line="240" w:lineRule="auto"/>
        <w:rPr>
          <w:rFonts w:ascii="Arial" w:hAnsi="Arial" w:cs="Arial"/>
          <w:b/>
          <w:sz w:val="22"/>
        </w:rPr>
      </w:pPr>
      <w:r>
        <w:rPr>
          <w:rFonts w:ascii="Arial" w:hAnsi="Arial" w:cs="Arial"/>
          <w:b/>
          <w:sz w:val="22"/>
        </w:rPr>
        <w:t>Responding to Music</w:t>
      </w:r>
    </w:p>
    <w:p w:rsidR="00787D65" w:rsidRDefault="00787D65" w:rsidP="00B31178">
      <w:pPr>
        <w:numPr>
          <w:ilvl w:val="0"/>
          <w:numId w:val="6"/>
        </w:numPr>
        <w:spacing w:after="0" w:line="240" w:lineRule="auto"/>
        <w:rPr>
          <w:rFonts w:ascii="Arial" w:hAnsi="Arial" w:cs="Arial"/>
          <w:sz w:val="22"/>
        </w:rPr>
      </w:pPr>
      <w:r>
        <w:rPr>
          <w:rFonts w:ascii="Arial" w:hAnsi="Arial" w:cs="Arial"/>
          <w:sz w:val="22"/>
        </w:rPr>
        <w:t>R</w:t>
      </w:r>
      <w:r w:rsidR="00054C9E">
        <w:rPr>
          <w:rFonts w:ascii="Arial" w:hAnsi="Arial" w:cs="Arial"/>
          <w:sz w:val="22"/>
        </w:rPr>
        <w:t>M</w:t>
      </w:r>
      <w:r>
        <w:rPr>
          <w:rFonts w:ascii="Arial" w:hAnsi="Arial" w:cs="Arial"/>
          <w:sz w:val="22"/>
        </w:rPr>
        <w:t xml:space="preserve">1 – </w:t>
      </w:r>
      <w:r w:rsidR="00054C9E">
        <w:rPr>
          <w:rFonts w:ascii="Arial" w:hAnsi="Arial" w:cs="Arial"/>
          <w:sz w:val="22"/>
        </w:rPr>
        <w:t>development of musical literacy skills</w:t>
      </w:r>
    </w:p>
    <w:p w:rsidR="00054C9E" w:rsidRPr="00787D65" w:rsidRDefault="00054C9E" w:rsidP="00B31178">
      <w:pPr>
        <w:numPr>
          <w:ilvl w:val="0"/>
          <w:numId w:val="6"/>
        </w:numPr>
        <w:spacing w:after="0" w:line="240" w:lineRule="auto"/>
        <w:rPr>
          <w:rFonts w:ascii="Arial" w:hAnsi="Arial" w:cs="Arial"/>
          <w:sz w:val="22"/>
        </w:rPr>
      </w:pPr>
      <w:r>
        <w:rPr>
          <w:rFonts w:ascii="Arial" w:hAnsi="Arial" w:cs="Arial"/>
          <w:sz w:val="22"/>
        </w:rPr>
        <w:t>RM2 - analysis and discussion of musical works and styles</w:t>
      </w:r>
    </w:p>
    <w:p w:rsidR="00220ED4" w:rsidRPr="003D6933" w:rsidRDefault="00220ED4" w:rsidP="00220ED4">
      <w:pPr>
        <w:jc w:val="center"/>
        <w:rPr>
          <w:rFonts w:ascii="Arial" w:hAnsi="Arial" w:cs="Arial"/>
          <w:b/>
          <w:sz w:val="22"/>
        </w:rPr>
      </w:pPr>
    </w:p>
    <w:p w:rsidR="00597093" w:rsidRPr="003D6933" w:rsidRDefault="003151EE" w:rsidP="00220ED4">
      <w:pPr>
        <w:jc w:val="center"/>
        <w:rPr>
          <w:rFonts w:ascii="Arial" w:hAnsi="Arial" w:cs="Arial"/>
          <w:b/>
          <w:sz w:val="22"/>
        </w:rPr>
      </w:pPr>
      <w:r>
        <w:rPr>
          <w:rFonts w:ascii="Arial" w:hAnsi="Arial" w:cs="Arial"/>
          <w:b/>
          <w:noProof/>
          <w:sz w:val="22"/>
          <w:lang w:val="en-AU" w:eastAsia="en-AU"/>
        </w:rPr>
        <w:lastRenderedPageBreak/>
        <w:drawing>
          <wp:inline distT="0" distB="0" distL="0" distR="0">
            <wp:extent cx="64674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7475" cy="2162175"/>
                    </a:xfrm>
                    <a:prstGeom prst="rect">
                      <a:avLst/>
                    </a:prstGeom>
                    <a:noFill/>
                    <a:ln>
                      <a:noFill/>
                    </a:ln>
                  </pic:spPr>
                </pic:pic>
              </a:graphicData>
            </a:graphic>
          </wp:inline>
        </w:drawing>
      </w:r>
    </w:p>
    <w:p w:rsidR="00597093" w:rsidRPr="003D6933" w:rsidRDefault="003151EE" w:rsidP="00220ED4">
      <w:pPr>
        <w:jc w:val="center"/>
        <w:rPr>
          <w:rFonts w:ascii="Arial" w:hAnsi="Arial" w:cs="Arial"/>
          <w:b/>
          <w:sz w:val="22"/>
        </w:rPr>
      </w:pPr>
      <w:r>
        <w:rPr>
          <w:rFonts w:ascii="Arial" w:hAnsi="Arial" w:cs="Arial"/>
          <w:b/>
          <w:noProof/>
          <w:sz w:val="22"/>
          <w:lang w:val="en-AU" w:eastAsia="en-AU"/>
        </w:rPr>
        <w:drawing>
          <wp:inline distT="0" distB="0" distL="0" distR="0">
            <wp:extent cx="64770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1514475"/>
                    </a:xfrm>
                    <a:prstGeom prst="rect">
                      <a:avLst/>
                    </a:prstGeom>
                    <a:noFill/>
                    <a:ln>
                      <a:noFill/>
                    </a:ln>
                  </pic:spPr>
                </pic:pic>
              </a:graphicData>
            </a:graphic>
          </wp:inline>
        </w:drawing>
      </w:r>
    </w:p>
    <w:p w:rsidR="00597093" w:rsidRPr="003D6933" w:rsidRDefault="003151EE" w:rsidP="00220ED4">
      <w:pPr>
        <w:jc w:val="center"/>
        <w:rPr>
          <w:rFonts w:ascii="Arial" w:hAnsi="Arial" w:cs="Arial"/>
          <w:b/>
          <w:sz w:val="22"/>
        </w:rPr>
      </w:pPr>
      <w:r>
        <w:rPr>
          <w:rFonts w:ascii="Arial" w:hAnsi="Arial" w:cs="Arial"/>
          <w:b/>
          <w:noProof/>
          <w:sz w:val="22"/>
          <w:lang w:val="en-AU" w:eastAsia="en-AU"/>
        </w:rPr>
        <w:drawing>
          <wp:inline distT="0" distB="0" distL="0" distR="0">
            <wp:extent cx="64770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876300"/>
                    </a:xfrm>
                    <a:prstGeom prst="rect">
                      <a:avLst/>
                    </a:prstGeom>
                    <a:noFill/>
                    <a:ln>
                      <a:noFill/>
                    </a:ln>
                  </pic:spPr>
                </pic:pic>
              </a:graphicData>
            </a:graphic>
          </wp:inline>
        </w:drawing>
      </w:r>
    </w:p>
    <w:p w:rsidR="00597093" w:rsidRPr="003D6933" w:rsidRDefault="003151EE" w:rsidP="00220ED4">
      <w:pPr>
        <w:jc w:val="center"/>
        <w:rPr>
          <w:rFonts w:ascii="Arial" w:hAnsi="Arial" w:cs="Arial"/>
          <w:b/>
          <w:sz w:val="22"/>
        </w:rPr>
      </w:pPr>
      <w:r>
        <w:rPr>
          <w:rFonts w:ascii="Arial" w:hAnsi="Arial" w:cs="Arial"/>
          <w:b/>
          <w:noProof/>
          <w:sz w:val="22"/>
          <w:lang w:val="en-AU" w:eastAsia="en-AU"/>
        </w:rPr>
        <w:drawing>
          <wp:inline distT="0" distB="0" distL="0" distR="0">
            <wp:extent cx="6477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p w:rsidR="00597093" w:rsidRPr="003D6933" w:rsidRDefault="003151EE" w:rsidP="00220ED4">
      <w:pPr>
        <w:jc w:val="center"/>
        <w:rPr>
          <w:rFonts w:ascii="Arial" w:hAnsi="Arial" w:cs="Arial"/>
          <w:b/>
          <w:sz w:val="22"/>
        </w:rPr>
      </w:pPr>
      <w:r>
        <w:rPr>
          <w:rFonts w:ascii="Arial" w:hAnsi="Arial" w:cs="Arial"/>
          <w:b/>
          <w:noProof/>
          <w:sz w:val="22"/>
          <w:lang w:val="en-AU" w:eastAsia="en-AU"/>
        </w:rPr>
        <w:drawing>
          <wp:inline distT="0" distB="0" distL="0" distR="0">
            <wp:extent cx="6477000" cy="1552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1552575"/>
                    </a:xfrm>
                    <a:prstGeom prst="rect">
                      <a:avLst/>
                    </a:prstGeom>
                    <a:noFill/>
                    <a:ln>
                      <a:noFill/>
                    </a:ln>
                  </pic:spPr>
                </pic:pic>
              </a:graphicData>
            </a:graphic>
          </wp:inline>
        </w:drawing>
      </w:r>
    </w:p>
    <w:bookmarkEnd w:id="0"/>
    <w:p w:rsidR="008F7F05" w:rsidRPr="003D6933" w:rsidRDefault="008F7F05" w:rsidP="00220ED4">
      <w:pPr>
        <w:jc w:val="center"/>
        <w:rPr>
          <w:rFonts w:ascii="Arial" w:hAnsi="Arial" w:cs="Arial"/>
          <w:b/>
          <w:sz w:val="22"/>
        </w:rPr>
      </w:pPr>
    </w:p>
    <w:sectPr w:rsidR="008F7F05" w:rsidRPr="003D6933" w:rsidSect="002C29A6">
      <w:footerReference w:type="default" r:id="rId13"/>
      <w:pgSz w:w="11907" w:h="16839"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18" w:rsidRDefault="00797918" w:rsidP="00744BD5">
      <w:pPr>
        <w:spacing w:after="0" w:line="240" w:lineRule="auto"/>
      </w:pPr>
      <w:r>
        <w:separator/>
      </w:r>
    </w:p>
  </w:endnote>
  <w:endnote w:type="continuationSeparator" w:id="0">
    <w:p w:rsidR="00797918" w:rsidRDefault="00797918" w:rsidP="0074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D5" w:rsidRDefault="00744BD5" w:rsidP="00744BD5">
    <w:pPr>
      <w:pStyle w:val="RPFooter"/>
      <w:tabs>
        <w:tab w:val="clear" w:pos="9540"/>
        <w:tab w:val="clear" w:pos="11340"/>
        <w:tab w:val="clear" w:pos="14459"/>
        <w:tab w:val="right" w:pos="9356"/>
      </w:tabs>
    </w:pPr>
    <w:r w:rsidRPr="007544D2">
      <w:t xml:space="preserve">Page </w:t>
    </w:r>
    <w:r w:rsidRPr="007544D2">
      <w:fldChar w:fldCharType="begin"/>
    </w:r>
    <w:r w:rsidRPr="007544D2">
      <w:instrText xml:space="preserve"> PAGE </w:instrText>
    </w:r>
    <w:r w:rsidRPr="007544D2">
      <w:fldChar w:fldCharType="separate"/>
    </w:r>
    <w:r w:rsidR="003151EE">
      <w:rPr>
        <w:noProof/>
      </w:rPr>
      <w:t>3</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3151EE">
      <w:rPr>
        <w:noProof/>
      </w:rPr>
      <w:t>3</w:t>
    </w:r>
    <w:r w:rsidRPr="007544D2">
      <w:fldChar w:fldCharType="end"/>
    </w:r>
    <w:r>
      <w:rPr>
        <w:sz w:val="18"/>
      </w:rPr>
      <w:tab/>
    </w:r>
    <w:r w:rsidR="00AE5060">
      <w:t xml:space="preserve">Stage 1 Music AT2:  Task </w:t>
    </w:r>
    <w:r>
      <w:t>(for use from 2018)</w:t>
    </w:r>
  </w:p>
  <w:p w:rsidR="00744BD5" w:rsidRDefault="00744BD5" w:rsidP="00744BD5">
    <w:pPr>
      <w:pStyle w:val="RPFooter"/>
      <w:tabs>
        <w:tab w:val="clear" w:pos="9540"/>
        <w:tab w:val="clear" w:pos="11340"/>
        <w:tab w:val="clear" w:pos="14459"/>
        <w:tab w:val="right" w:pos="9356"/>
      </w:tabs>
    </w:pPr>
    <w:r>
      <w:tab/>
      <w:t xml:space="preserve">Ref: </w:t>
    </w:r>
    <w:fldSimple w:instr=" DOCPROPERTY  Objective-Id  \* MERGEFORMAT ">
      <w:r w:rsidR="003151EE">
        <w:t>A665886</w:t>
      </w:r>
    </w:fldSimple>
    <w:r>
      <w:t xml:space="preserve"> (created March 2017)</w:t>
    </w:r>
  </w:p>
  <w:p w:rsidR="00744BD5" w:rsidRPr="00AB4683" w:rsidRDefault="00744BD5" w:rsidP="00744BD5">
    <w:pPr>
      <w:pStyle w:val="RPFooter"/>
      <w:tabs>
        <w:tab w:val="clear" w:pos="9540"/>
        <w:tab w:val="clear" w:pos="11340"/>
        <w:tab w:val="clear" w:pos="14459"/>
        <w:tab w:val="right" w:pos="9356"/>
      </w:tabs>
      <w:rPr>
        <w:sz w:val="18"/>
      </w:rPr>
    </w:pPr>
    <w:r>
      <w:tab/>
    </w:r>
    <w:r w:rsidRPr="007544D2">
      <w:t>© SA</w:t>
    </w:r>
    <w:r>
      <w:t>CE Board of South Australia 2016</w:t>
    </w:r>
  </w:p>
  <w:p w:rsidR="00744BD5" w:rsidRDefault="0074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18" w:rsidRDefault="00797918" w:rsidP="00744BD5">
      <w:pPr>
        <w:spacing w:after="0" w:line="240" w:lineRule="auto"/>
      </w:pPr>
      <w:r>
        <w:separator/>
      </w:r>
    </w:p>
  </w:footnote>
  <w:footnote w:type="continuationSeparator" w:id="0">
    <w:p w:rsidR="00797918" w:rsidRDefault="00797918" w:rsidP="00744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1A5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547C07"/>
    <w:multiLevelType w:val="hybridMultilevel"/>
    <w:tmpl w:val="721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2D62B9"/>
    <w:multiLevelType w:val="hybridMultilevel"/>
    <w:tmpl w:val="4CBA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AA2D39"/>
    <w:multiLevelType w:val="hybridMultilevel"/>
    <w:tmpl w:val="5586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001530"/>
    <w:multiLevelType w:val="hybridMultilevel"/>
    <w:tmpl w:val="17C8AA64"/>
    <w:lvl w:ilvl="0" w:tplc="D3DA0256">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2FF14DF"/>
    <w:multiLevelType w:val="hybridMultilevel"/>
    <w:tmpl w:val="CE0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D4"/>
    <w:rsid w:val="000058EE"/>
    <w:rsid w:val="00054C9E"/>
    <w:rsid w:val="0009516C"/>
    <w:rsid w:val="00107F90"/>
    <w:rsid w:val="001D154A"/>
    <w:rsid w:val="001E40AC"/>
    <w:rsid w:val="002000BE"/>
    <w:rsid w:val="00220ED4"/>
    <w:rsid w:val="002C29A6"/>
    <w:rsid w:val="002F5E23"/>
    <w:rsid w:val="0030787F"/>
    <w:rsid w:val="003125E9"/>
    <w:rsid w:val="003151EE"/>
    <w:rsid w:val="0032778C"/>
    <w:rsid w:val="00330F28"/>
    <w:rsid w:val="003D6933"/>
    <w:rsid w:val="00454165"/>
    <w:rsid w:val="004B2703"/>
    <w:rsid w:val="00503BAC"/>
    <w:rsid w:val="0051036C"/>
    <w:rsid w:val="005131F2"/>
    <w:rsid w:val="00545A81"/>
    <w:rsid w:val="00546170"/>
    <w:rsid w:val="00586020"/>
    <w:rsid w:val="00597093"/>
    <w:rsid w:val="00621836"/>
    <w:rsid w:val="006C2148"/>
    <w:rsid w:val="00744BD5"/>
    <w:rsid w:val="00760DF5"/>
    <w:rsid w:val="00787D65"/>
    <w:rsid w:val="00797918"/>
    <w:rsid w:val="00857AE3"/>
    <w:rsid w:val="008F7F05"/>
    <w:rsid w:val="009562D0"/>
    <w:rsid w:val="00A239B0"/>
    <w:rsid w:val="00A7616F"/>
    <w:rsid w:val="00AA7C48"/>
    <w:rsid w:val="00AE5060"/>
    <w:rsid w:val="00B31178"/>
    <w:rsid w:val="00B45DB7"/>
    <w:rsid w:val="00B84FFA"/>
    <w:rsid w:val="00BA5AA6"/>
    <w:rsid w:val="00C52AEB"/>
    <w:rsid w:val="00CB7340"/>
    <w:rsid w:val="00DB5142"/>
    <w:rsid w:val="00E33756"/>
    <w:rsid w:val="00E502F5"/>
    <w:rsid w:val="00EE2991"/>
    <w:rsid w:val="00EF2232"/>
    <w:rsid w:val="00F8464A"/>
    <w:rsid w:val="00F906F8"/>
    <w:rsid w:val="00FD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EB"/>
    <w:pPr>
      <w:spacing w:after="200" w:line="276" w:lineRule="auto"/>
    </w:pPr>
    <w:rPr>
      <w:sz w:val="24"/>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lorfulList-Accent1">
    <w:name w:val="Colorful List Accent 1"/>
    <w:basedOn w:val="Normal"/>
    <w:uiPriority w:val="34"/>
    <w:qFormat/>
    <w:rsid w:val="00E502F5"/>
    <w:pPr>
      <w:ind w:left="720"/>
      <w:contextualSpacing/>
    </w:pPr>
    <w:rPr>
      <w:rFonts w:ascii="Calibri" w:hAnsi="Calibri"/>
      <w:sz w:val="22"/>
    </w:rPr>
  </w:style>
  <w:style w:type="character" w:styleId="Hyperlink">
    <w:name w:val="Hyperlink"/>
    <w:uiPriority w:val="99"/>
    <w:unhideWhenUsed/>
    <w:rsid w:val="00E502F5"/>
    <w:rPr>
      <w:color w:val="0000FF"/>
      <w:u w:val="single"/>
    </w:rPr>
  </w:style>
  <w:style w:type="character" w:styleId="FollowedHyperlink">
    <w:name w:val="FollowedHyperlink"/>
    <w:uiPriority w:val="99"/>
    <w:semiHidden/>
    <w:unhideWhenUsed/>
    <w:rsid w:val="00586020"/>
    <w:rPr>
      <w:color w:val="800080"/>
      <w:u w:val="single"/>
    </w:rPr>
  </w:style>
  <w:style w:type="paragraph" w:styleId="Header">
    <w:name w:val="header"/>
    <w:basedOn w:val="Normal"/>
    <w:link w:val="HeaderChar"/>
    <w:uiPriority w:val="99"/>
    <w:unhideWhenUsed/>
    <w:rsid w:val="00744BD5"/>
    <w:pPr>
      <w:tabs>
        <w:tab w:val="center" w:pos="4513"/>
        <w:tab w:val="right" w:pos="9026"/>
      </w:tabs>
    </w:pPr>
  </w:style>
  <w:style w:type="character" w:customStyle="1" w:styleId="HeaderChar">
    <w:name w:val="Header Char"/>
    <w:link w:val="Header"/>
    <w:uiPriority w:val="99"/>
    <w:rsid w:val="00744BD5"/>
    <w:rPr>
      <w:sz w:val="24"/>
      <w:szCs w:val="22"/>
      <w:lang w:val="en-US" w:eastAsia="zh-CN"/>
    </w:rPr>
  </w:style>
  <w:style w:type="paragraph" w:styleId="Footer">
    <w:name w:val="footer"/>
    <w:basedOn w:val="Normal"/>
    <w:link w:val="FooterChar"/>
    <w:uiPriority w:val="99"/>
    <w:unhideWhenUsed/>
    <w:rsid w:val="00744BD5"/>
    <w:pPr>
      <w:tabs>
        <w:tab w:val="center" w:pos="4513"/>
        <w:tab w:val="right" w:pos="9026"/>
      </w:tabs>
    </w:pPr>
  </w:style>
  <w:style w:type="character" w:customStyle="1" w:styleId="FooterChar">
    <w:name w:val="Footer Char"/>
    <w:link w:val="Footer"/>
    <w:uiPriority w:val="99"/>
    <w:rsid w:val="00744BD5"/>
    <w:rPr>
      <w:sz w:val="24"/>
      <w:szCs w:val="22"/>
      <w:lang w:val="en-US" w:eastAsia="zh-CN"/>
    </w:rPr>
  </w:style>
  <w:style w:type="paragraph" w:customStyle="1" w:styleId="RPFooter">
    <w:name w:val="RP Footer"/>
    <w:basedOn w:val="Footer"/>
    <w:rsid w:val="00744BD5"/>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787D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D65"/>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EB"/>
    <w:pPr>
      <w:spacing w:after="200" w:line="276" w:lineRule="auto"/>
    </w:pPr>
    <w:rPr>
      <w:sz w:val="24"/>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lorfulList-Accent1">
    <w:name w:val="Colorful List Accent 1"/>
    <w:basedOn w:val="Normal"/>
    <w:uiPriority w:val="34"/>
    <w:qFormat/>
    <w:rsid w:val="00E502F5"/>
    <w:pPr>
      <w:ind w:left="720"/>
      <w:contextualSpacing/>
    </w:pPr>
    <w:rPr>
      <w:rFonts w:ascii="Calibri" w:hAnsi="Calibri"/>
      <w:sz w:val="22"/>
    </w:rPr>
  </w:style>
  <w:style w:type="character" w:styleId="Hyperlink">
    <w:name w:val="Hyperlink"/>
    <w:uiPriority w:val="99"/>
    <w:unhideWhenUsed/>
    <w:rsid w:val="00E502F5"/>
    <w:rPr>
      <w:color w:val="0000FF"/>
      <w:u w:val="single"/>
    </w:rPr>
  </w:style>
  <w:style w:type="character" w:styleId="FollowedHyperlink">
    <w:name w:val="FollowedHyperlink"/>
    <w:uiPriority w:val="99"/>
    <w:semiHidden/>
    <w:unhideWhenUsed/>
    <w:rsid w:val="00586020"/>
    <w:rPr>
      <w:color w:val="800080"/>
      <w:u w:val="single"/>
    </w:rPr>
  </w:style>
  <w:style w:type="paragraph" w:styleId="Header">
    <w:name w:val="header"/>
    <w:basedOn w:val="Normal"/>
    <w:link w:val="HeaderChar"/>
    <w:uiPriority w:val="99"/>
    <w:unhideWhenUsed/>
    <w:rsid w:val="00744BD5"/>
    <w:pPr>
      <w:tabs>
        <w:tab w:val="center" w:pos="4513"/>
        <w:tab w:val="right" w:pos="9026"/>
      </w:tabs>
    </w:pPr>
  </w:style>
  <w:style w:type="character" w:customStyle="1" w:styleId="HeaderChar">
    <w:name w:val="Header Char"/>
    <w:link w:val="Header"/>
    <w:uiPriority w:val="99"/>
    <w:rsid w:val="00744BD5"/>
    <w:rPr>
      <w:sz w:val="24"/>
      <w:szCs w:val="22"/>
      <w:lang w:val="en-US" w:eastAsia="zh-CN"/>
    </w:rPr>
  </w:style>
  <w:style w:type="paragraph" w:styleId="Footer">
    <w:name w:val="footer"/>
    <w:basedOn w:val="Normal"/>
    <w:link w:val="FooterChar"/>
    <w:uiPriority w:val="99"/>
    <w:unhideWhenUsed/>
    <w:rsid w:val="00744BD5"/>
    <w:pPr>
      <w:tabs>
        <w:tab w:val="center" w:pos="4513"/>
        <w:tab w:val="right" w:pos="9026"/>
      </w:tabs>
    </w:pPr>
  </w:style>
  <w:style w:type="character" w:customStyle="1" w:styleId="FooterChar">
    <w:name w:val="Footer Char"/>
    <w:link w:val="Footer"/>
    <w:uiPriority w:val="99"/>
    <w:rsid w:val="00744BD5"/>
    <w:rPr>
      <w:sz w:val="24"/>
      <w:szCs w:val="22"/>
      <w:lang w:val="en-US" w:eastAsia="zh-CN"/>
    </w:rPr>
  </w:style>
  <w:style w:type="paragraph" w:customStyle="1" w:styleId="RPFooter">
    <w:name w:val="RP Footer"/>
    <w:basedOn w:val="Footer"/>
    <w:rsid w:val="00744BD5"/>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787D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D65"/>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School of Beijing</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 </cp:lastModifiedBy>
  <cp:revision>2</cp:revision>
  <cp:lastPrinted>2017-03-17T02:45:00Z</cp:lastPrinted>
  <dcterms:created xsi:type="dcterms:W3CDTF">2017-10-10T03:44:00Z</dcterms:created>
  <dcterms:modified xsi:type="dcterms:W3CDTF">2017-10-10T03:44:00Z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A665886</vt:lpwstr>
  </property>
  <property fmtid="{D5CDD505-2E9C-101B-9397-08002B2CF9AE}" pid="3" name="Objective-Title">
    <vt:lpwstr>Stage 1 Music Advanced - AT2 - Task 1</vt:lpwstr>
  </property>
  <property fmtid="{D5CDD505-2E9C-101B-9397-08002B2CF9AE}" pid="4" name="Objective-Comment">
    <vt:lpwstr/>
  </property>
  <property fmtid="{D5CDD505-2E9C-101B-9397-08002B2CF9AE}" pid="5" name="Objective-CreationStamp">
    <vt:filetime>2017-08-22T05:04:02Z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2017-10-10T02:15:46Z</vt:filetime>
  </property>
  <property fmtid="{D5CDD505-2E9C-101B-9397-08002B2CF9AE}" pid="10" name="Objective-Owner">
    <vt:lpwstr>Caroline Pomeroy</vt:lpwstr>
  </property>
  <property fmtid="{D5CDD505-2E9C-101B-9397-08002B2CF9AE}" pid="11" name="Objective-Path">
    <vt:lpwstr>Objective Global Folder:Curriculum:Subject renewal:Arts:Music:Music subjects Redevelopment 2016-2017:Music Stage 1 implementation workshops 2018:Materials for booklet:</vt:lpwstr>
  </property>
  <property fmtid="{D5CDD505-2E9C-101B-9397-08002B2CF9AE}" pid="12" name="Objective-Parent">
    <vt:lpwstr>Materials for booklet</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qA14050</vt:lpwstr>
  </property>
  <property fmtid="{D5CDD505-2E9C-101B-9397-08002B2CF9AE}" pid="18" name="Objective-Classification">
    <vt:lpwstr>[Inherited - none]</vt:lpwstr>
  </property>
  <property fmtid="{D5CDD505-2E9C-101B-9397-08002B2CF9AE}" pid="19" name="Objective-Caveats">
    <vt:lpwstr/>
  </property>
</Properties>
</file>