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AA" w:rsidRPr="0047174E" w:rsidRDefault="00193E77" w:rsidP="00284EAA">
      <w:pPr>
        <w:tabs>
          <w:tab w:val="left" w:pos="3480"/>
        </w:tabs>
        <w:jc w:val="center"/>
        <w:rPr>
          <w:rFonts w:ascii="Arial" w:hAnsi="Arial" w:cs="Arial"/>
          <w:b/>
          <w:sz w:val="24"/>
          <w:szCs w:val="28"/>
        </w:rPr>
      </w:pPr>
      <w:r w:rsidRPr="0047174E">
        <w:rPr>
          <w:rFonts w:ascii="Arial" w:hAnsi="Arial" w:cs="Arial"/>
          <w:b/>
          <w:sz w:val="24"/>
          <w:szCs w:val="28"/>
        </w:rPr>
        <w:t xml:space="preserve">Principles of Agriculture: </w:t>
      </w:r>
      <w:r w:rsidR="00C50CAE" w:rsidRPr="0047174E">
        <w:rPr>
          <w:rFonts w:ascii="Arial" w:hAnsi="Arial" w:cs="Arial"/>
          <w:b/>
          <w:sz w:val="24"/>
          <w:szCs w:val="28"/>
        </w:rPr>
        <w:t xml:space="preserve">Animal </w:t>
      </w:r>
      <w:r w:rsidRPr="0047174E">
        <w:rPr>
          <w:rFonts w:ascii="Arial" w:hAnsi="Arial" w:cs="Arial"/>
          <w:b/>
          <w:sz w:val="24"/>
          <w:szCs w:val="28"/>
        </w:rPr>
        <w:t>Health</w:t>
      </w:r>
    </w:p>
    <w:p w:rsidR="00D1255E" w:rsidRPr="0047174E" w:rsidRDefault="00D1255E" w:rsidP="00D12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47174E">
        <w:rPr>
          <w:rFonts w:ascii="Arial" w:hAnsi="Arial" w:cs="Arial"/>
          <w:b/>
          <w:sz w:val="24"/>
          <w:szCs w:val="28"/>
        </w:rPr>
        <w:t xml:space="preserve">How have agricultural research </w:t>
      </w:r>
      <w:r w:rsidRPr="0047174E">
        <w:rPr>
          <w:rFonts w:ascii="Arial" w:hAnsi="Arial" w:cs="Arial"/>
          <w:b/>
          <w:color w:val="414142"/>
          <w:sz w:val="24"/>
          <w:szCs w:val="28"/>
        </w:rPr>
        <w:t xml:space="preserve">scientists </w:t>
      </w:r>
      <w:r w:rsidRPr="0047174E">
        <w:rPr>
          <w:rFonts w:ascii="Arial" w:hAnsi="Arial" w:cs="Arial"/>
          <w:b/>
          <w:sz w:val="24"/>
          <w:szCs w:val="28"/>
        </w:rPr>
        <w:t>developed sustainable solutions for goat farmers?</w:t>
      </w:r>
    </w:p>
    <w:p w:rsidR="00D1255E" w:rsidRPr="0047174E" w:rsidRDefault="00D1255E" w:rsidP="00D12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14142"/>
          <w:sz w:val="24"/>
          <w:szCs w:val="28"/>
        </w:rPr>
      </w:pPr>
    </w:p>
    <w:p w:rsidR="005C0AF0" w:rsidRPr="0047174E" w:rsidRDefault="00D60088" w:rsidP="00D60088">
      <w:pPr>
        <w:rPr>
          <w:rFonts w:ascii="Arial" w:hAnsi="Arial" w:cs="Arial"/>
        </w:rPr>
      </w:pPr>
      <w:r w:rsidRPr="0047174E">
        <w:rPr>
          <w:rFonts w:ascii="Arial" w:hAnsi="Arial" w:cs="Arial"/>
        </w:rPr>
        <w:t xml:space="preserve">Australia is internationally recognised as a major </w:t>
      </w:r>
      <w:r w:rsidR="0083628C" w:rsidRPr="0047174E">
        <w:rPr>
          <w:rFonts w:ascii="Arial" w:hAnsi="Arial" w:cs="Arial"/>
        </w:rPr>
        <w:t xml:space="preserve">exporter </w:t>
      </w:r>
      <w:r w:rsidRPr="0047174E">
        <w:rPr>
          <w:rFonts w:ascii="Arial" w:hAnsi="Arial" w:cs="Arial"/>
        </w:rPr>
        <w:t xml:space="preserve">of </w:t>
      </w:r>
      <w:r w:rsidR="00D1255E" w:rsidRPr="0047174E">
        <w:rPr>
          <w:rFonts w:ascii="Arial" w:hAnsi="Arial" w:cs="Arial"/>
        </w:rPr>
        <w:t xml:space="preserve">goat meat on the world market. </w:t>
      </w:r>
      <w:r w:rsidRPr="0047174E">
        <w:rPr>
          <w:rFonts w:ascii="Arial" w:hAnsi="Arial" w:cs="Arial"/>
          <w:color w:val="000000"/>
          <w:shd w:val="clear" w:color="auto" w:fill="FFFFFF"/>
        </w:rPr>
        <w:t xml:space="preserve">The rangeland goat is the major source of goats for the </w:t>
      </w:r>
      <w:r w:rsidR="00C863B0" w:rsidRPr="0047174E">
        <w:rPr>
          <w:rFonts w:ascii="Arial" w:hAnsi="Arial" w:cs="Arial"/>
          <w:color w:val="000000"/>
          <w:shd w:val="clear" w:color="auto" w:fill="FFFFFF"/>
        </w:rPr>
        <w:t>goat meat</w:t>
      </w:r>
      <w:r w:rsidRPr="0047174E">
        <w:rPr>
          <w:rFonts w:ascii="Arial" w:hAnsi="Arial" w:cs="Arial"/>
          <w:color w:val="000000"/>
          <w:shd w:val="clear" w:color="auto" w:fill="FFFFFF"/>
        </w:rPr>
        <w:t xml:space="preserve"> processing industry in Australia, accounting for approximately 90% of total goat meat production. </w:t>
      </w:r>
      <w:r w:rsidR="00D1255E" w:rsidRPr="0047174E">
        <w:rPr>
          <w:rFonts w:ascii="Arial" w:hAnsi="Arial" w:cs="Arial"/>
          <w:color w:val="000000"/>
          <w:shd w:val="clear" w:color="auto" w:fill="FFFFFF"/>
        </w:rPr>
        <w:t>T</w:t>
      </w:r>
      <w:r w:rsidRPr="0047174E">
        <w:rPr>
          <w:rFonts w:ascii="Arial" w:hAnsi="Arial" w:cs="Arial"/>
          <w:color w:val="000000"/>
          <w:shd w:val="clear" w:color="auto" w:fill="FFFFFF"/>
        </w:rPr>
        <w:t>he farming of goats in a feed lot situation is also becoming established in Australia.</w:t>
      </w:r>
      <w:r w:rsidR="005C0AF0" w:rsidRPr="0047174E">
        <w:rPr>
          <w:rFonts w:ascii="Arial" w:hAnsi="Arial" w:cs="Arial"/>
        </w:rPr>
        <w:t xml:space="preserve"> </w:t>
      </w:r>
    </w:p>
    <w:p w:rsidR="0064386E" w:rsidRPr="0047174E" w:rsidRDefault="005C0AF0" w:rsidP="0064386E">
      <w:pPr>
        <w:rPr>
          <w:rFonts w:ascii="Arial" w:hAnsi="Arial" w:cs="Arial"/>
        </w:rPr>
      </w:pPr>
      <w:r w:rsidRPr="0047174E">
        <w:rPr>
          <w:rFonts w:ascii="Arial" w:hAnsi="Arial" w:cs="Arial"/>
        </w:rPr>
        <w:t xml:space="preserve">Scientific research has played a large part in maintaining the integrity of the Australian goat industry. Australian goats are acknowledged as being free of all major livestock diseases and the industry has had a long term commitment to food safety, product integrity and traceability. </w:t>
      </w:r>
      <w:r w:rsidR="0064386E" w:rsidRPr="0047174E">
        <w:rPr>
          <w:rFonts w:ascii="Arial" w:hAnsi="Arial" w:cs="Arial"/>
        </w:rPr>
        <w:t xml:space="preserve">The Goat Industry Council of Australia (GICA) works with several organisations on research and development projects and programs. </w:t>
      </w:r>
    </w:p>
    <w:p w:rsidR="00E33E6C" w:rsidRPr="0047174E" w:rsidRDefault="00E33E6C" w:rsidP="00E33E6C">
      <w:pPr>
        <w:spacing w:before="240"/>
        <w:rPr>
          <w:rFonts w:ascii="Arial" w:hAnsi="Arial" w:cs="Arial"/>
          <w:b/>
        </w:rPr>
      </w:pPr>
      <w:r w:rsidRPr="0047174E">
        <w:rPr>
          <w:rFonts w:ascii="Arial" w:hAnsi="Arial" w:cs="Arial"/>
          <w:b/>
        </w:rPr>
        <w:t>Purpose of task</w:t>
      </w:r>
    </w:p>
    <w:p w:rsidR="00E33E6C" w:rsidRPr="0047174E" w:rsidRDefault="00E33E6C" w:rsidP="00E33E6C">
      <w:pPr>
        <w:spacing w:before="240"/>
        <w:rPr>
          <w:rFonts w:ascii="Arial" w:hAnsi="Arial" w:cs="Arial"/>
          <w:lang w:val="en"/>
        </w:rPr>
      </w:pPr>
      <w:r w:rsidRPr="0047174E">
        <w:rPr>
          <w:rFonts w:ascii="Arial" w:hAnsi="Arial" w:cs="Arial"/>
          <w:lang w:val="en"/>
        </w:rPr>
        <w:t>This task has a focus on the following aspect of Science as a Human Endeavour:</w:t>
      </w:r>
    </w:p>
    <w:p w:rsidR="00E33E6C" w:rsidRPr="0047174E" w:rsidRDefault="00E33E6C" w:rsidP="0047174E">
      <w:pPr>
        <w:pStyle w:val="Default"/>
        <w:spacing w:after="120"/>
        <w:ind w:left="357"/>
        <w:rPr>
          <w:color w:val="auto"/>
          <w:sz w:val="22"/>
          <w:szCs w:val="21"/>
        </w:rPr>
      </w:pPr>
      <w:r w:rsidRPr="0047174E">
        <w:rPr>
          <w:sz w:val="22"/>
          <w:szCs w:val="20"/>
        </w:rPr>
        <w:t>Scientific knowledge, understanding, and inquiry can enable scientists to develop solutions, make discoveries, design action for sustainability, evaluate economic, social, and environmental impacts, offer valid explanations, and make reliable predictions.</w:t>
      </w:r>
    </w:p>
    <w:p w:rsidR="00E33E6C" w:rsidRPr="0047174E" w:rsidRDefault="00E33E6C" w:rsidP="00E33E6C">
      <w:pPr>
        <w:spacing w:before="240"/>
        <w:rPr>
          <w:rFonts w:ascii="Arial" w:hAnsi="Arial" w:cs="Arial"/>
          <w:lang w:val="en"/>
        </w:rPr>
      </w:pPr>
      <w:r w:rsidRPr="0047174E">
        <w:rPr>
          <w:rFonts w:ascii="Arial" w:hAnsi="Arial" w:cs="Arial"/>
          <w:lang w:val="en"/>
        </w:rPr>
        <w:t>You may wish to address other SHE aspects also.</w:t>
      </w:r>
    </w:p>
    <w:p w:rsidR="0064386E" w:rsidRPr="0047174E" w:rsidRDefault="0064386E" w:rsidP="0064386E">
      <w:pPr>
        <w:spacing w:before="240"/>
        <w:rPr>
          <w:rFonts w:ascii="Arial" w:hAnsi="Arial" w:cs="Arial"/>
          <w:lang w:val="en"/>
        </w:rPr>
      </w:pPr>
      <w:r w:rsidRPr="0047174E">
        <w:rPr>
          <w:rFonts w:ascii="Arial" w:hAnsi="Arial" w:cs="Arial"/>
          <w:lang w:val="en"/>
        </w:rPr>
        <w:t xml:space="preserve">Use a variety of sources to </w:t>
      </w:r>
      <w:r w:rsidR="0022671E" w:rsidRPr="0047174E">
        <w:rPr>
          <w:rFonts w:ascii="Arial" w:hAnsi="Arial" w:cs="Arial"/>
          <w:lang w:val="en"/>
        </w:rPr>
        <w:t>compare</w:t>
      </w:r>
      <w:r w:rsidRPr="0047174E">
        <w:rPr>
          <w:rFonts w:ascii="Arial" w:hAnsi="Arial" w:cs="Arial"/>
          <w:lang w:val="en"/>
        </w:rPr>
        <w:t xml:space="preserve"> </w:t>
      </w:r>
      <w:r w:rsidRPr="0047174E">
        <w:rPr>
          <w:rFonts w:ascii="Arial" w:hAnsi="Arial" w:cs="Arial"/>
        </w:rPr>
        <w:t>goat production systems, biosecurity and animal health programs in Australia and in one other country</w:t>
      </w:r>
      <w:r w:rsidR="0047174E" w:rsidRPr="0047174E">
        <w:rPr>
          <w:rFonts w:ascii="Arial" w:hAnsi="Arial" w:cs="Arial"/>
        </w:rPr>
        <w:t>.</w:t>
      </w:r>
      <w:r w:rsidRPr="0047174E">
        <w:rPr>
          <w:rFonts w:ascii="Arial" w:hAnsi="Arial" w:cs="Arial"/>
        </w:rPr>
        <w:t xml:space="preserve"> </w:t>
      </w:r>
      <w:r w:rsidR="0047174E" w:rsidRPr="0047174E">
        <w:rPr>
          <w:rFonts w:ascii="Arial" w:hAnsi="Arial" w:cs="Arial"/>
        </w:rPr>
        <w:t xml:space="preserve">Find out how </w:t>
      </w:r>
      <w:r w:rsidR="00424CFE">
        <w:rPr>
          <w:rFonts w:ascii="Arial" w:hAnsi="Arial" w:cs="Arial"/>
        </w:rPr>
        <w:t xml:space="preserve">developments from </w:t>
      </w:r>
      <w:r w:rsidR="0047174E" w:rsidRPr="0047174E">
        <w:rPr>
          <w:rFonts w:ascii="Arial" w:hAnsi="Arial" w:cs="Arial"/>
        </w:rPr>
        <w:t xml:space="preserve">scientific research </w:t>
      </w:r>
      <w:r w:rsidR="00424CFE">
        <w:rPr>
          <w:rFonts w:ascii="Arial" w:hAnsi="Arial" w:cs="Arial"/>
        </w:rPr>
        <w:t xml:space="preserve">are </w:t>
      </w:r>
      <w:r w:rsidR="0047174E" w:rsidRPr="0047174E">
        <w:rPr>
          <w:rFonts w:ascii="Arial" w:hAnsi="Arial" w:cs="Arial"/>
        </w:rPr>
        <w:t>help</w:t>
      </w:r>
      <w:r w:rsidR="00424CFE">
        <w:rPr>
          <w:rFonts w:ascii="Arial" w:hAnsi="Arial" w:cs="Arial"/>
        </w:rPr>
        <w:t>ing farmers to establish sustainable solutions</w:t>
      </w:r>
      <w:r w:rsidR="0047174E" w:rsidRPr="0047174E">
        <w:rPr>
          <w:rFonts w:ascii="Arial" w:hAnsi="Arial" w:cs="Arial"/>
        </w:rPr>
        <w:t xml:space="preserve"> to </w:t>
      </w:r>
      <w:r w:rsidRPr="0047174E">
        <w:rPr>
          <w:rFonts w:ascii="Arial" w:hAnsi="Arial" w:cs="Arial"/>
        </w:rPr>
        <w:t xml:space="preserve">deliver </w:t>
      </w:r>
      <w:r w:rsidR="0022671E" w:rsidRPr="0047174E">
        <w:rPr>
          <w:rFonts w:ascii="Arial" w:hAnsi="Arial" w:cs="Arial"/>
        </w:rPr>
        <w:t xml:space="preserve">safe, </w:t>
      </w:r>
      <w:r w:rsidRPr="0047174E">
        <w:rPr>
          <w:rFonts w:ascii="Arial" w:hAnsi="Arial" w:cs="Arial"/>
        </w:rPr>
        <w:t>high quality</w:t>
      </w:r>
      <w:r w:rsidR="0022671E" w:rsidRPr="0047174E">
        <w:rPr>
          <w:rFonts w:ascii="Arial" w:hAnsi="Arial" w:cs="Arial"/>
        </w:rPr>
        <w:t xml:space="preserve"> </w:t>
      </w:r>
      <w:r w:rsidRPr="0047174E">
        <w:rPr>
          <w:rFonts w:ascii="Arial" w:hAnsi="Arial" w:cs="Arial"/>
        </w:rPr>
        <w:t>meat.</w:t>
      </w:r>
      <w:r w:rsidR="0047174E">
        <w:rPr>
          <w:rFonts w:ascii="Arial" w:hAnsi="Arial" w:cs="Arial"/>
        </w:rPr>
        <w:t xml:space="preserve"> </w:t>
      </w:r>
    </w:p>
    <w:p w:rsidR="0064386E" w:rsidRPr="0047174E" w:rsidRDefault="0064386E" w:rsidP="0064386E">
      <w:pPr>
        <w:rPr>
          <w:rFonts w:ascii="Arial" w:hAnsi="Arial" w:cs="Arial"/>
          <w:b/>
        </w:rPr>
      </w:pPr>
      <w:r w:rsidRPr="0047174E">
        <w:rPr>
          <w:rFonts w:ascii="Arial" w:hAnsi="Arial" w:cs="Arial"/>
          <w:lang w:val="en"/>
        </w:rPr>
        <w:t xml:space="preserve">You should focus your investigation </w:t>
      </w:r>
      <w:r w:rsidR="00424CFE">
        <w:rPr>
          <w:rFonts w:ascii="Arial" w:hAnsi="Arial" w:cs="Arial"/>
          <w:lang w:val="en"/>
        </w:rPr>
        <w:t>on one main aspect relating to the production of goat meat</w:t>
      </w:r>
      <w:r w:rsidRPr="0047174E">
        <w:rPr>
          <w:rFonts w:ascii="Arial" w:hAnsi="Arial" w:cs="Arial"/>
          <w:lang w:val="en"/>
        </w:rPr>
        <w:t xml:space="preserve">. For example, you may wish to focus on </w:t>
      </w:r>
      <w:r w:rsidR="00424CFE">
        <w:rPr>
          <w:rFonts w:ascii="Arial" w:hAnsi="Arial" w:cs="Arial"/>
          <w:lang w:val="en"/>
        </w:rPr>
        <w:t xml:space="preserve">goat </w:t>
      </w:r>
      <w:r w:rsidR="0022671E" w:rsidRPr="0047174E">
        <w:rPr>
          <w:rFonts w:ascii="Arial" w:hAnsi="Arial" w:cs="Arial"/>
          <w:lang w:val="en"/>
        </w:rPr>
        <w:t>nutrition, biosecurity or goat health.</w:t>
      </w:r>
      <w:r w:rsidR="0047174E" w:rsidRPr="0047174E">
        <w:rPr>
          <w:rFonts w:ascii="Arial" w:hAnsi="Arial" w:cs="Arial"/>
        </w:rPr>
        <w:t xml:space="preserve"> </w:t>
      </w:r>
      <w:r w:rsidR="0047174E">
        <w:rPr>
          <w:rFonts w:ascii="Arial" w:hAnsi="Arial" w:cs="Arial"/>
        </w:rPr>
        <w:t xml:space="preserve">You could investigate </w:t>
      </w:r>
      <w:r w:rsidR="00424CFE">
        <w:rPr>
          <w:rFonts w:ascii="Arial" w:hAnsi="Arial" w:cs="Arial"/>
        </w:rPr>
        <w:t xml:space="preserve">a very specific issue, for example, </w:t>
      </w:r>
      <w:r w:rsidR="0047174E">
        <w:rPr>
          <w:rFonts w:ascii="Arial" w:hAnsi="Arial" w:cs="Arial"/>
        </w:rPr>
        <w:t xml:space="preserve">how research has </w:t>
      </w:r>
      <w:r w:rsidR="0047174E" w:rsidRPr="0047174E">
        <w:rPr>
          <w:rFonts w:ascii="Arial" w:hAnsi="Arial" w:cs="Arial"/>
        </w:rPr>
        <w:t>improved our understanding of the on-farm risk factors for drench resistance</w:t>
      </w:r>
      <w:r w:rsidR="0047174E">
        <w:rPr>
          <w:rFonts w:ascii="Arial" w:hAnsi="Arial" w:cs="Arial"/>
        </w:rPr>
        <w:t>.</w:t>
      </w:r>
    </w:p>
    <w:p w:rsidR="00424CFE" w:rsidRPr="0047174E" w:rsidRDefault="00424CFE" w:rsidP="00424CFE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Conditions</w:t>
      </w:r>
    </w:p>
    <w:p w:rsidR="00651ED4" w:rsidRDefault="00651ED4" w:rsidP="00651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have some class time for research and feedback from the teacher. The task is completed over two weeks. </w:t>
      </w:r>
    </w:p>
    <w:p w:rsidR="00D23716" w:rsidRDefault="00651ED4" w:rsidP="00651ED4">
      <w:pPr>
        <w:rPr>
          <w:rFonts w:ascii="Arial" w:hAnsi="Arial" w:cs="Arial"/>
        </w:rPr>
      </w:pPr>
      <w:r w:rsidRPr="0047174E">
        <w:rPr>
          <w:rFonts w:ascii="Arial" w:hAnsi="Arial" w:cs="Arial"/>
        </w:rPr>
        <w:t>This information may be presented in a format of your choice for presentation to the class and should be a maximum of 1000 words if written or a maximum of 6 minutes for an oral presentation, or the equivalent in multimodal form.</w:t>
      </w:r>
      <w:r>
        <w:rPr>
          <w:rFonts w:ascii="Arial" w:hAnsi="Arial" w:cs="Arial"/>
        </w:rPr>
        <w:t xml:space="preserve"> Your sources of information should be appropriately acknowledged.</w:t>
      </w:r>
    </w:p>
    <w:p w:rsidR="00651ED4" w:rsidRDefault="00651ED4" w:rsidP="000F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  <w:sz w:val="20"/>
          <w:szCs w:val="16"/>
        </w:rPr>
      </w:pPr>
    </w:p>
    <w:p w:rsidR="0047174E" w:rsidRPr="0047174E" w:rsidRDefault="0047174E" w:rsidP="000F2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7174E" w:rsidRPr="0047174E" w:rsidSect="00193E77">
          <w:headerReference w:type="first" r:id="rId9"/>
          <w:footerReference w:type="first" r:id="rId10"/>
          <w:pgSz w:w="11906" w:h="16838"/>
          <w:pgMar w:top="1134" w:right="1474" w:bottom="1021" w:left="1474" w:header="708" w:footer="708" w:gutter="0"/>
          <w:cols w:space="708"/>
          <w:titlePg/>
          <w:docGrid w:linePitch="360"/>
        </w:sectPr>
      </w:pPr>
    </w:p>
    <w:p w:rsidR="00D23716" w:rsidRPr="00D23716" w:rsidRDefault="00D23716" w:rsidP="00D23716">
      <w:pPr>
        <w:spacing w:after="120"/>
        <w:rPr>
          <w:rFonts w:ascii="Arial" w:hAnsi="Arial" w:cs="Arial"/>
          <w:b/>
          <w:sz w:val="28"/>
        </w:rPr>
      </w:pPr>
      <w:r w:rsidRPr="00D23716">
        <w:rPr>
          <w:rFonts w:ascii="Arial" w:hAnsi="Arial" w:cs="Arial"/>
          <w:b/>
          <w:sz w:val="20"/>
          <w:szCs w:val="16"/>
        </w:rPr>
        <w:lastRenderedPageBreak/>
        <w:t>Performance Standards for Stage 1 Agriculture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526"/>
        <w:gridCol w:w="567"/>
        <w:gridCol w:w="2551"/>
        <w:gridCol w:w="2552"/>
        <w:gridCol w:w="2693"/>
        <w:gridCol w:w="2410"/>
        <w:gridCol w:w="2551"/>
      </w:tblGrid>
      <w:tr w:rsidR="00D23716" w:rsidRPr="00D23716" w:rsidTr="00DF2507">
        <w:trPr>
          <w:trHeight w:val="510"/>
        </w:trPr>
        <w:tc>
          <w:tcPr>
            <w:tcW w:w="2093" w:type="dxa"/>
            <w:gridSpan w:val="2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52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693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10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551" w:type="dxa"/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E</w:t>
            </w:r>
          </w:p>
        </w:tc>
      </w:tr>
      <w:tr w:rsidR="00D23716" w:rsidRPr="00D23716" w:rsidTr="00DF2507">
        <w:tc>
          <w:tcPr>
            <w:tcW w:w="1526" w:type="dxa"/>
            <w:tcBorders>
              <w:right w:val="nil"/>
            </w:tcBorders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567" w:type="dxa"/>
            <w:tcBorders>
              <w:left w:val="nil"/>
            </w:tcBorders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1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2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3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4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Designs a logical, coherent, and detailed agricultural investigation.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Obtains records, and represents data, using appropriate conventions and formats accurately and highly effectively.</w:t>
            </w:r>
          </w:p>
          <w:p w:rsidR="00D23716" w:rsidRPr="00D23716" w:rsidRDefault="00D23716" w:rsidP="009D1D46">
            <w:pPr>
              <w:pStyle w:val="SOTableText"/>
              <w:spacing w:before="24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Systematically analyses and interprets data and evidence to formulate logical conclusions with detailed justification.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Critically and logically evaluates procedures and their effects on data.</w:t>
            </w:r>
          </w:p>
        </w:tc>
        <w:tc>
          <w:tcPr>
            <w:tcW w:w="2552" w:type="dxa"/>
          </w:tcPr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Designs a well-considered and clear agricultural investigation.</w:t>
            </w:r>
          </w:p>
          <w:p w:rsidR="00D23716" w:rsidRPr="00D23716" w:rsidRDefault="00D23716" w:rsidP="009D1D46">
            <w:pPr>
              <w:pStyle w:val="SOTableText"/>
              <w:spacing w:after="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Obtains, records, and </w:t>
            </w:r>
            <w:r w:rsidR="00EF6D07"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represents 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using appropriate conventions and formats mostly accurately and effectively.</w:t>
            </w:r>
          </w:p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Logically analyses and interprets data and evidence to formulate suitable conclusions with reasonable justification.</w:t>
            </w:r>
          </w:p>
          <w:p w:rsidR="00D23716" w:rsidRPr="00D23716" w:rsidRDefault="00D23716" w:rsidP="009D1D46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Logically evaluates procedures and their effects on data.</w:t>
            </w:r>
          </w:p>
        </w:tc>
        <w:tc>
          <w:tcPr>
            <w:tcW w:w="2693" w:type="dxa"/>
          </w:tcPr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Designs a considered and generally clear agricultural investigation.</w:t>
            </w:r>
          </w:p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Obtains, records, and </w:t>
            </w:r>
            <w:r w:rsidR="00EF6D07"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represents 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using generally appropriate conventions and formats with some errors but generally accurately and effectively.</w:t>
            </w:r>
          </w:p>
          <w:p w:rsidR="00D23716" w:rsidRPr="00D23716" w:rsidRDefault="00D23716" w:rsidP="009D1D46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Undertakes some analysis and interpretation of data and evidence to formulate generally appropriate conclusions with some justification.</w:t>
            </w:r>
          </w:p>
          <w:p w:rsidR="00D23716" w:rsidRPr="00D23716" w:rsidRDefault="00D23716" w:rsidP="009D1D46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Evaluates procedures and some of their effects on data.</w:t>
            </w:r>
          </w:p>
        </w:tc>
        <w:tc>
          <w:tcPr>
            <w:tcW w:w="2410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Prepares the outline of an agricultural investigation.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Obtains, records, and </w:t>
            </w:r>
            <w:r w:rsidR="00EF6D07"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represents 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using conventions and formats inconsistently, with occasional accuracy and effectiveness.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Describes data and undertakes some basic interpretation to formulate a basic conclusion.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Attempts to evaluate procedures or suggest an effect on data.</w:t>
            </w:r>
          </w:p>
        </w:tc>
        <w:tc>
          <w:tcPr>
            <w:tcW w:w="2551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Identifies a simple procedure for an agricultural investigation.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Attempts to record and </w:t>
            </w:r>
            <w:r w:rsidR="00EF6D07">
              <w:rPr>
                <w:rFonts w:cs="Arial"/>
                <w:color w:val="BFBFBF" w:themeColor="background1" w:themeShade="BF"/>
                <w:sz w:val="17"/>
                <w:szCs w:val="17"/>
              </w:rPr>
              <w:t>represent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 xml:space="preserve"> some </w:t>
            </w:r>
            <w:r w:rsidR="00EF6D07">
              <w:rPr>
                <w:rFonts w:cs="Arial"/>
                <w:color w:val="BFBFBF" w:themeColor="background1" w:themeShade="BF"/>
                <w:sz w:val="17"/>
                <w:szCs w:val="17"/>
              </w:rPr>
              <w:t>data</w:t>
            </w:r>
            <w:r w:rsidRPr="00D23716">
              <w:rPr>
                <w:rFonts w:cs="Arial"/>
                <w:color w:val="BFBFBF" w:themeColor="background1" w:themeShade="BF"/>
                <w:sz w:val="17"/>
                <w:szCs w:val="17"/>
              </w:rPr>
              <w:t>, with limited accuracy or effectiveness.</w:t>
            </w:r>
          </w:p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Attempts to describe results and/or interpret data to formulate a basic conclusion.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23716">
              <w:rPr>
                <w:rFonts w:ascii="Arial" w:hAnsi="Arial" w:cs="Arial"/>
                <w:color w:val="BFBFBF" w:themeColor="background1" w:themeShade="BF"/>
                <w:sz w:val="17"/>
                <w:szCs w:val="17"/>
              </w:rPr>
              <w:t>Acknowledges that procedures affect data.</w:t>
            </w:r>
          </w:p>
        </w:tc>
      </w:tr>
      <w:tr w:rsidR="00D23716" w:rsidRPr="00D23716" w:rsidTr="00DF2507">
        <w:tc>
          <w:tcPr>
            <w:tcW w:w="1526" w:type="dxa"/>
            <w:tcBorders>
              <w:right w:val="nil"/>
            </w:tcBorders>
            <w:vAlign w:val="center"/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567" w:type="dxa"/>
            <w:tcBorders>
              <w:left w:val="nil"/>
            </w:tcBorders>
          </w:tcPr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1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23716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2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3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</w:rPr>
            </w:pP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</w:rPr>
              <w:t>4</w:t>
            </w:r>
          </w:p>
          <w:p w:rsidR="00D23716" w:rsidRPr="00D23716" w:rsidRDefault="00D23716" w:rsidP="009D1D4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deep and broad knowledge and understanding of a range of agricultural concepts and practices.</w:t>
            </w:r>
          </w:p>
          <w:p w:rsidR="00D23716" w:rsidRPr="00D23716" w:rsidRDefault="00D23716" w:rsidP="009D1D46">
            <w:pPr>
              <w:spacing w:before="12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 xml:space="preserve">Develops and applies agricultural concepts, skills, and practices highly effectively in new and familiar contexts. </w:t>
            </w:r>
          </w:p>
          <w:p w:rsidR="00D23716" w:rsidRPr="00D23716" w:rsidRDefault="00D23716" w:rsidP="009D1D46">
            <w:pPr>
              <w:pStyle w:val="SOTableText"/>
              <w:spacing w:before="24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Critically explores and understands in depth the interaction between agricultural science and society.</w:t>
            </w:r>
            <w:r w:rsidRPr="00D23716" w:rsidDel="000E456C">
              <w:rPr>
                <w:rFonts w:cs="Arial"/>
                <w:sz w:val="17"/>
                <w:szCs w:val="17"/>
              </w:rPr>
              <w:t xml:space="preserve"> 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knowledge and understanding of agriculture coherently with highly effective use of appropriate terms, conventions and representations.</w:t>
            </w:r>
          </w:p>
        </w:tc>
        <w:tc>
          <w:tcPr>
            <w:tcW w:w="2552" w:type="dxa"/>
          </w:tcPr>
          <w:p w:rsidR="00D23716" w:rsidRPr="00D23716" w:rsidRDefault="00D23716" w:rsidP="009D1D46">
            <w:pPr>
              <w:pStyle w:val="SOTableText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 xml:space="preserve">Demonstrates some depth and breadth of knowledge and understanding of a range of agricultural concepts and practices. </w:t>
            </w:r>
          </w:p>
          <w:p w:rsidR="00D23716" w:rsidRPr="00D23716" w:rsidRDefault="00D23716" w:rsidP="009D1D46">
            <w:pPr>
              <w:spacing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agricultural concepts, skills, and practices mostly effectively in new and familiar contexts.</w:t>
            </w:r>
          </w:p>
          <w:p w:rsidR="00D23716" w:rsidRPr="00D23716" w:rsidRDefault="00D23716" w:rsidP="009D1D46">
            <w:pPr>
              <w:pStyle w:val="SOTableText"/>
              <w:spacing w:before="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Logically explores and understands in some depth the interaction between agricultural science and society.</w:t>
            </w:r>
            <w:r w:rsidRPr="00D23716" w:rsidDel="000E456C">
              <w:rPr>
                <w:rFonts w:cs="Arial"/>
                <w:sz w:val="17"/>
                <w:szCs w:val="17"/>
              </w:rPr>
              <w:t xml:space="preserve"> </w:t>
            </w:r>
          </w:p>
          <w:p w:rsidR="00D23716" w:rsidRPr="00D23716" w:rsidRDefault="00D23716" w:rsidP="009D1D46">
            <w:pPr>
              <w:spacing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knowledge and understanding of agriculture mostly coherently with effective use of appropriate terms, conventions, and representations.</w:t>
            </w:r>
          </w:p>
        </w:tc>
        <w:tc>
          <w:tcPr>
            <w:tcW w:w="2693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knowledge and understanding of a general range of agricultural concepts and practices.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agricultural concepts, skills, and practices generally effectively in new or familiar contexts.</w:t>
            </w:r>
          </w:p>
          <w:p w:rsidR="00D23716" w:rsidRPr="00D23716" w:rsidRDefault="00D23716" w:rsidP="009D1D46">
            <w:pPr>
              <w:pStyle w:val="SOTableText"/>
              <w:spacing w:before="24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Explores and understands aspects of the interaction between agricultural science and society.</w:t>
            </w:r>
            <w:r w:rsidRPr="00D23716" w:rsidDel="000E456C">
              <w:rPr>
                <w:rFonts w:cs="Arial"/>
                <w:sz w:val="17"/>
                <w:szCs w:val="17"/>
              </w:rPr>
              <w:t xml:space="preserve"> </w:t>
            </w:r>
          </w:p>
          <w:p w:rsidR="00D23716" w:rsidRPr="00D23716" w:rsidRDefault="00D23716" w:rsidP="009D1D46">
            <w:pPr>
              <w:spacing w:before="24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knowledge and understanding of agriculture generally effectively using some appropriate terms, conventions, and representations.</w:t>
            </w:r>
          </w:p>
        </w:tc>
        <w:tc>
          <w:tcPr>
            <w:tcW w:w="2410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some basic knowledge and partial understanding of agricultural concepts and practices.</w:t>
            </w:r>
          </w:p>
          <w:p w:rsidR="00D23716" w:rsidRPr="00D23716" w:rsidRDefault="00D23716" w:rsidP="009D1D46">
            <w:pPr>
              <w:spacing w:before="8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Develops and applies basic agricultural concepts, skills, and practices in familiar contexts.</w:t>
            </w:r>
          </w:p>
          <w:p w:rsidR="00D23716" w:rsidRPr="00D23716" w:rsidRDefault="00D23716" w:rsidP="009D1D46">
            <w:pPr>
              <w:pStyle w:val="SOTableText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Partially explores and recognises aspects of the interaction between agricultural science and society</w:t>
            </w:r>
          </w:p>
          <w:p w:rsidR="00D23716" w:rsidRPr="00D23716" w:rsidRDefault="00D23716" w:rsidP="009D1D46">
            <w:pPr>
              <w:spacing w:before="120"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Communicates basic information about agriculture, using some appropriate terms, conventions, and/or representations.</w:t>
            </w:r>
          </w:p>
        </w:tc>
        <w:tc>
          <w:tcPr>
            <w:tcW w:w="2551" w:type="dxa"/>
          </w:tcPr>
          <w:p w:rsidR="00D23716" w:rsidRPr="00D23716" w:rsidRDefault="00D23716" w:rsidP="009D1D46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Demonstrates some limited recognition and awareness of agricultural concepts and practices.</w:t>
            </w:r>
          </w:p>
          <w:p w:rsidR="00D23716" w:rsidRPr="00D23716" w:rsidRDefault="00D23716" w:rsidP="009D1D46">
            <w:pPr>
              <w:spacing w:before="60" w:after="80"/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color w:val="BFBFBF" w:themeColor="background1" w:themeShade="BF"/>
                <w:sz w:val="17"/>
                <w:szCs w:val="17"/>
              </w:rPr>
              <w:t>Attempts to develop and apply one or more basic agricultural concepts, skills, and/or practices in familiar contexts.</w:t>
            </w:r>
          </w:p>
          <w:p w:rsidR="00D23716" w:rsidRPr="00D23716" w:rsidRDefault="00D23716" w:rsidP="009D1D46">
            <w:pPr>
              <w:pStyle w:val="SOTableText"/>
              <w:rPr>
                <w:rFonts w:cs="Arial"/>
                <w:sz w:val="17"/>
                <w:szCs w:val="17"/>
              </w:rPr>
            </w:pPr>
            <w:r w:rsidRPr="00D23716">
              <w:rPr>
                <w:rFonts w:cs="Arial"/>
                <w:sz w:val="17"/>
                <w:szCs w:val="17"/>
              </w:rPr>
              <w:t>Attempts to explore and identify an aspect of the interaction between agricultural science and society.</w:t>
            </w:r>
          </w:p>
          <w:p w:rsidR="00D23716" w:rsidRPr="00D23716" w:rsidRDefault="00D23716" w:rsidP="009D1D46">
            <w:pPr>
              <w:spacing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23716">
              <w:rPr>
                <w:rFonts w:ascii="Arial" w:hAnsi="Arial" w:cs="Arial"/>
                <w:noProof/>
                <w:sz w:val="17"/>
                <w:szCs w:val="17"/>
              </w:rPr>
              <w:t>Attempts to communicate information about agriculture.</w:t>
            </w:r>
          </w:p>
        </w:tc>
      </w:tr>
    </w:tbl>
    <w:p w:rsidR="00D23716" w:rsidRPr="00DF2507" w:rsidRDefault="00D23716" w:rsidP="00D23716">
      <w:pPr>
        <w:rPr>
          <w:rFonts w:cs="Arial"/>
          <w:sz w:val="4"/>
          <w:szCs w:val="4"/>
        </w:rPr>
      </w:pPr>
      <w:bookmarkStart w:id="0" w:name="_GoBack"/>
      <w:bookmarkEnd w:id="0"/>
    </w:p>
    <w:sectPr w:rsidR="00D23716" w:rsidRPr="00DF2507" w:rsidSect="00D23716">
      <w:headerReference w:type="first" r:id="rId11"/>
      <w:footerReference w:type="first" r:id="rId12"/>
      <w:pgSz w:w="16838" w:h="11906" w:orient="landscape"/>
      <w:pgMar w:top="1134" w:right="1474" w:bottom="1021" w:left="147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24" w:rsidRDefault="00707424" w:rsidP="00193E77">
      <w:pPr>
        <w:spacing w:after="0" w:line="240" w:lineRule="auto"/>
      </w:pPr>
      <w:r>
        <w:separator/>
      </w:r>
    </w:p>
  </w:endnote>
  <w:endnote w:type="continuationSeparator" w:id="0">
    <w:p w:rsidR="00707424" w:rsidRDefault="00707424" w:rsidP="0019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7" w:rsidRPr="00FD1D00" w:rsidRDefault="00DF2507" w:rsidP="00DF2507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>
      <w:rPr>
        <w:sz w:val="18"/>
      </w:rPr>
      <w:tab/>
    </w:r>
    <w:r w:rsidRPr="00FD1D00">
      <w:t xml:space="preserve">Stage 1 Agriculture – AT1 – </w:t>
    </w:r>
    <w:r>
      <w:t>Task 2</w:t>
    </w:r>
    <w:r w:rsidRPr="00FD1D00">
      <w:t xml:space="preserve"> – </w:t>
    </w:r>
    <w:r>
      <w:t xml:space="preserve">Animal </w:t>
    </w:r>
    <w:proofErr w:type="gramStart"/>
    <w:r>
      <w:t>health</w:t>
    </w:r>
    <w:r w:rsidRPr="00FD1D00">
      <w:t xml:space="preserve">  (</w:t>
    </w:r>
    <w:proofErr w:type="gramEnd"/>
    <w:r w:rsidRPr="00FD1D00">
      <w:t>for use from 2017)</w:t>
    </w:r>
  </w:p>
  <w:p w:rsidR="00DF2507" w:rsidRPr="00FD1D00" w:rsidRDefault="00DF2507" w:rsidP="00DF2507">
    <w:pPr>
      <w:pStyle w:val="RPFooter"/>
      <w:tabs>
        <w:tab w:val="clear" w:pos="9540"/>
        <w:tab w:val="clear" w:pos="11340"/>
        <w:tab w:val="right" w:pos="9072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>
      <w:t>A547323</w:t>
    </w:r>
    <w:r w:rsidRPr="00FD1D00">
      <w:fldChar w:fldCharType="end"/>
    </w:r>
    <w:r w:rsidRPr="00FD1D00">
      <w:t xml:space="preserve"> (created November 2016)</w:t>
    </w:r>
  </w:p>
  <w:p w:rsidR="00DF2507" w:rsidRPr="007544D2" w:rsidRDefault="00DF2507" w:rsidP="00DF2507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 w:rsidRPr="00FD1D00">
      <w:tab/>
      <w:t>© SACE Board of South Australia 2016</w:t>
    </w:r>
  </w:p>
  <w:p w:rsidR="00DF2507" w:rsidRPr="00DF2507" w:rsidRDefault="00DF2507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07" w:rsidRPr="00FD1D00" w:rsidRDefault="00DF2507" w:rsidP="00DF2507">
    <w:pPr>
      <w:pStyle w:val="RPFooter"/>
      <w:tabs>
        <w:tab w:val="clear" w:pos="9540"/>
        <w:tab w:val="clear" w:pos="11340"/>
        <w:tab w:val="clear" w:pos="14459"/>
        <w:tab w:val="right" w:pos="1375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>
      <w:rPr>
        <w:sz w:val="18"/>
      </w:rPr>
      <w:tab/>
    </w:r>
    <w:r w:rsidRPr="00FD1D00">
      <w:t xml:space="preserve">Stage 1 Agriculture – AT1 – </w:t>
    </w:r>
    <w:r>
      <w:t>Task 2</w:t>
    </w:r>
    <w:r w:rsidRPr="00FD1D00">
      <w:t xml:space="preserve"> – </w:t>
    </w:r>
    <w:r>
      <w:t xml:space="preserve">Animal </w:t>
    </w:r>
    <w:proofErr w:type="gramStart"/>
    <w:r>
      <w:t>health</w:t>
    </w:r>
    <w:r w:rsidRPr="00FD1D00">
      <w:t xml:space="preserve">  (</w:t>
    </w:r>
    <w:proofErr w:type="gramEnd"/>
    <w:r w:rsidRPr="00FD1D00">
      <w:t>for use from 2017)</w:t>
    </w:r>
  </w:p>
  <w:p w:rsidR="00DF2507" w:rsidRPr="00FD1D00" w:rsidRDefault="00DF2507" w:rsidP="00DF2507">
    <w:pPr>
      <w:pStyle w:val="RPFooter"/>
      <w:tabs>
        <w:tab w:val="clear" w:pos="9540"/>
        <w:tab w:val="clear" w:pos="11340"/>
        <w:tab w:val="clear" w:pos="14459"/>
        <w:tab w:val="right" w:pos="13750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>
      <w:t>A547323</w:t>
    </w:r>
    <w:r w:rsidRPr="00FD1D00">
      <w:fldChar w:fldCharType="end"/>
    </w:r>
    <w:r w:rsidRPr="00FD1D00">
      <w:t xml:space="preserve"> (created November 2016)</w:t>
    </w:r>
  </w:p>
  <w:p w:rsidR="00DF2507" w:rsidRPr="007544D2" w:rsidRDefault="00DF2507" w:rsidP="00DF2507">
    <w:pPr>
      <w:pStyle w:val="RPFooter"/>
      <w:tabs>
        <w:tab w:val="clear" w:pos="9540"/>
        <w:tab w:val="clear" w:pos="11340"/>
        <w:tab w:val="clear" w:pos="14459"/>
        <w:tab w:val="right" w:pos="13750"/>
      </w:tabs>
      <w:rPr>
        <w:sz w:val="18"/>
      </w:rPr>
    </w:pPr>
    <w:r w:rsidRPr="00FD1D00">
      <w:tab/>
      <w:t>© SACE Board of South Australia 2016</w:t>
    </w:r>
  </w:p>
  <w:p w:rsidR="00DF2507" w:rsidRPr="00DF2507" w:rsidRDefault="00DF250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24" w:rsidRDefault="00707424" w:rsidP="00193E77">
      <w:pPr>
        <w:spacing w:after="0" w:line="240" w:lineRule="auto"/>
      </w:pPr>
      <w:r>
        <w:separator/>
      </w:r>
    </w:p>
  </w:footnote>
  <w:footnote w:type="continuationSeparator" w:id="0">
    <w:p w:rsidR="00707424" w:rsidRDefault="00707424" w:rsidP="0019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E77" w:rsidRPr="00E03021" w:rsidRDefault="00193E77" w:rsidP="00193E77">
    <w:pPr>
      <w:pStyle w:val="Heading2"/>
      <w:tabs>
        <w:tab w:val="right" w:pos="8931"/>
      </w:tabs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 xml:space="preserve">Stage 1 </w:t>
    </w:r>
    <w:r>
      <w:rPr>
        <w:rFonts w:ascii="Arial" w:hAnsi="Arial" w:cs="Arial"/>
        <w:sz w:val="22"/>
        <w:szCs w:val="28"/>
      </w:rPr>
      <w:t>Agriculture</w:t>
    </w:r>
    <w:r>
      <w:rPr>
        <w:rFonts w:ascii="Arial" w:hAnsi="Arial" w:cs="Arial"/>
        <w:sz w:val="22"/>
        <w:szCs w:val="28"/>
      </w:rPr>
      <w:tab/>
    </w:r>
    <w:r w:rsidR="00552128">
      <w:rPr>
        <w:rFonts w:ascii="Arial" w:hAnsi="Arial" w:cs="Arial"/>
        <w:sz w:val="22"/>
        <w:szCs w:val="28"/>
      </w:rPr>
      <w:t xml:space="preserve">AT1: </w:t>
    </w:r>
    <w:r>
      <w:rPr>
        <w:rFonts w:ascii="Arial" w:hAnsi="Arial" w:cs="Arial"/>
        <w:sz w:val="22"/>
        <w:szCs w:val="28"/>
      </w:rPr>
      <w:t xml:space="preserve">SHE Agricultural </w:t>
    </w:r>
    <w:r w:rsidR="00EF6D07">
      <w:rPr>
        <w:rFonts w:ascii="Arial" w:hAnsi="Arial" w:cs="Arial"/>
        <w:sz w:val="22"/>
        <w:szCs w:val="28"/>
      </w:rPr>
      <w:t>Report</w:t>
    </w:r>
    <w:r w:rsidR="00DF2507">
      <w:rPr>
        <w:rFonts w:ascii="Arial" w:hAnsi="Arial" w:cs="Arial"/>
        <w:sz w:val="22"/>
        <w:szCs w:val="28"/>
      </w:rPr>
      <w:t>s</w:t>
    </w:r>
    <w:r w:rsidRPr="00E03021">
      <w:rPr>
        <w:rFonts w:ascii="Arial" w:hAnsi="Arial" w:cs="Arial"/>
        <w:sz w:val="22"/>
        <w:szCs w:val="28"/>
      </w:rPr>
      <w:t xml:space="preserve"> </w:t>
    </w:r>
  </w:p>
  <w:p w:rsidR="00193E77" w:rsidRDefault="00193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16" w:rsidRDefault="00D23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16777"/>
    <w:multiLevelType w:val="hybridMultilevel"/>
    <w:tmpl w:val="FE9424D0"/>
    <w:lvl w:ilvl="0" w:tplc="933039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2385C"/>
    <w:multiLevelType w:val="hybridMultilevel"/>
    <w:tmpl w:val="D140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566EB"/>
    <w:multiLevelType w:val="hybridMultilevel"/>
    <w:tmpl w:val="4A867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4A47A6"/>
    <w:multiLevelType w:val="hybridMultilevel"/>
    <w:tmpl w:val="441E9498"/>
    <w:lvl w:ilvl="0" w:tplc="9BD85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83BD2"/>
    <w:multiLevelType w:val="hybridMultilevel"/>
    <w:tmpl w:val="447EE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1D0358"/>
    <w:multiLevelType w:val="hybridMultilevel"/>
    <w:tmpl w:val="F05CBCB2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58091043"/>
    <w:multiLevelType w:val="hybridMultilevel"/>
    <w:tmpl w:val="0146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C91D86"/>
    <w:multiLevelType w:val="hybridMultilevel"/>
    <w:tmpl w:val="9918C3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61C16870"/>
    <w:multiLevelType w:val="hybridMultilevel"/>
    <w:tmpl w:val="E2124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E3E0F"/>
    <w:multiLevelType w:val="hybridMultilevel"/>
    <w:tmpl w:val="FF6C79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AA"/>
    <w:rsid w:val="00037A29"/>
    <w:rsid w:val="000F2A66"/>
    <w:rsid w:val="001526F1"/>
    <w:rsid w:val="00193E77"/>
    <w:rsid w:val="00195931"/>
    <w:rsid w:val="001C19DC"/>
    <w:rsid w:val="001F4BA9"/>
    <w:rsid w:val="0022671E"/>
    <w:rsid w:val="00284EAA"/>
    <w:rsid w:val="00424CFE"/>
    <w:rsid w:val="0046615E"/>
    <w:rsid w:val="0047174E"/>
    <w:rsid w:val="00552128"/>
    <w:rsid w:val="005C0AF0"/>
    <w:rsid w:val="0064386E"/>
    <w:rsid w:val="00651ED4"/>
    <w:rsid w:val="00680119"/>
    <w:rsid w:val="00681801"/>
    <w:rsid w:val="00707424"/>
    <w:rsid w:val="007B2D67"/>
    <w:rsid w:val="0083628C"/>
    <w:rsid w:val="00896AA1"/>
    <w:rsid w:val="00B513A4"/>
    <w:rsid w:val="00C3253A"/>
    <w:rsid w:val="00C50CAE"/>
    <w:rsid w:val="00C863B0"/>
    <w:rsid w:val="00D1255E"/>
    <w:rsid w:val="00D23716"/>
    <w:rsid w:val="00D60088"/>
    <w:rsid w:val="00DE74F7"/>
    <w:rsid w:val="00DF2507"/>
    <w:rsid w:val="00E12BC5"/>
    <w:rsid w:val="00E33E6C"/>
    <w:rsid w:val="00EA2303"/>
    <w:rsid w:val="00EF6D07"/>
    <w:rsid w:val="00F1559F"/>
    <w:rsid w:val="00F1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AA"/>
    <w:pPr>
      <w:ind w:left="720"/>
      <w:contextualSpacing/>
    </w:pPr>
  </w:style>
  <w:style w:type="paragraph" w:customStyle="1" w:styleId="Default">
    <w:name w:val="Default"/>
    <w:rsid w:val="00E33E6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77"/>
  </w:style>
  <w:style w:type="paragraph" w:styleId="Footer">
    <w:name w:val="footer"/>
    <w:basedOn w:val="Normal"/>
    <w:link w:val="Foot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77"/>
  </w:style>
  <w:style w:type="character" w:customStyle="1" w:styleId="Heading2Char">
    <w:name w:val="Heading 2 Char"/>
    <w:basedOn w:val="DefaultParagraphFont"/>
    <w:link w:val="Heading2"/>
    <w:uiPriority w:val="9"/>
    <w:rsid w:val="00193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OTableText">
    <w:name w:val="SO Table Text"/>
    <w:qFormat/>
    <w:rsid w:val="00D23716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  <w:lang w:eastAsia="en-AU"/>
    </w:rPr>
  </w:style>
  <w:style w:type="table" w:styleId="TableGrid">
    <w:name w:val="Table Grid"/>
    <w:basedOn w:val="TableNormal"/>
    <w:rsid w:val="00D23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FE"/>
    <w:rPr>
      <w:rFonts w:ascii="Tahoma" w:hAnsi="Tahoma" w:cs="Tahoma"/>
      <w:sz w:val="16"/>
      <w:szCs w:val="16"/>
    </w:rPr>
  </w:style>
  <w:style w:type="paragraph" w:customStyle="1" w:styleId="RPFooter">
    <w:name w:val="RP Footer"/>
    <w:basedOn w:val="Footer"/>
    <w:rsid w:val="00DF2507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AA"/>
    <w:pPr>
      <w:ind w:left="720"/>
      <w:contextualSpacing/>
    </w:pPr>
  </w:style>
  <w:style w:type="paragraph" w:customStyle="1" w:styleId="Default">
    <w:name w:val="Default"/>
    <w:rsid w:val="00E33E6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E77"/>
  </w:style>
  <w:style w:type="paragraph" w:styleId="Footer">
    <w:name w:val="footer"/>
    <w:basedOn w:val="Normal"/>
    <w:link w:val="FooterChar"/>
    <w:uiPriority w:val="99"/>
    <w:unhideWhenUsed/>
    <w:rsid w:val="0019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E77"/>
  </w:style>
  <w:style w:type="character" w:customStyle="1" w:styleId="Heading2Char">
    <w:name w:val="Heading 2 Char"/>
    <w:basedOn w:val="DefaultParagraphFont"/>
    <w:link w:val="Heading2"/>
    <w:uiPriority w:val="9"/>
    <w:rsid w:val="00193E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OTableText">
    <w:name w:val="SO Table Text"/>
    <w:qFormat/>
    <w:rsid w:val="00D23716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  <w:lang w:eastAsia="en-AU"/>
    </w:rPr>
  </w:style>
  <w:style w:type="table" w:styleId="TableGrid">
    <w:name w:val="Table Grid"/>
    <w:basedOn w:val="TableNormal"/>
    <w:rsid w:val="00D237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FE"/>
    <w:rPr>
      <w:rFonts w:ascii="Tahoma" w:hAnsi="Tahoma" w:cs="Tahoma"/>
      <w:sz w:val="16"/>
      <w:szCs w:val="16"/>
    </w:rPr>
  </w:style>
  <w:style w:type="paragraph" w:customStyle="1" w:styleId="RPFooter">
    <w:name w:val="RP Footer"/>
    <w:basedOn w:val="Footer"/>
    <w:rsid w:val="00DF2507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F0F4-0ED9-44A7-B0A7-2A4041C8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foguser</dc:creator>
  <cp:lastModifiedBy> </cp:lastModifiedBy>
  <cp:revision>15</cp:revision>
  <cp:lastPrinted>2016-07-26T06:01:00Z</cp:lastPrinted>
  <dcterms:created xsi:type="dcterms:W3CDTF">2016-07-22T04:03:00Z</dcterms:created>
  <dcterms:modified xsi:type="dcterms:W3CDTF">2016-11-09T00:04:00Z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A547323</vt:lpwstr>
  </property>
  <property fmtid="{D5CDD505-2E9C-101B-9397-08002B2CF9AE}" pid="4" name="Objective-Title">
    <vt:lpwstr>Stage 1 Program 1 - AT1 - Task 2 -  Animal Health</vt:lpwstr>
  </property>
  <property fmtid="{D5CDD505-2E9C-101B-9397-08002B2CF9AE}" pid="5" name="Objective-Comment">
    <vt:lpwstr/>
  </property>
  <property fmtid="{D5CDD505-2E9C-101B-9397-08002B2CF9AE}" pid="6" name="Objective-CreationStamp">
    <vt:filetime>2016-07-26T22:14:09Z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2016-11-09T00:03:15Z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